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3d3fb95d61f6af8d88865cd4fd5522145ed6e5a"/>
    <w:p>
      <w:pPr>
        <w:pStyle w:val="Heading1"/>
      </w:pPr>
      <w:r>
        <w:t xml:space="preserve">C22 — Salud mental, afrontamiento y adaptación · Ficha de repaso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salud mental</w:t>
      </w:r>
      <w:r>
        <w:t xml:space="preserve"> </w:t>
      </w:r>
      <w:r>
        <w:t xml:space="preserve">es vivir con sentido usando los recursos disponibles, y</w:t>
      </w:r>
      <w:r>
        <w:t xml:space="preserve"> </w:t>
      </w:r>
      <w:r>
        <w:rPr>
          <w:b/>
          <w:bCs/>
        </w:rPr>
        <w:t xml:space="preserve">no se deteriora típicamente en la vejez</w:t>
      </w:r>
      <w:r>
        <w:t xml:space="preserve">.</w:t>
      </w:r>
      <w:r>
        <w:t xml:space="preserve"> </w:t>
      </w:r>
      <w:r>
        <w:rPr>
          <w:b/>
          <w:bCs/>
        </w:rPr>
        <w:t xml:space="preserve">Afrontar</w:t>
      </w:r>
      <w:r>
        <w:t xml:space="preserve"> </w:t>
      </w:r>
      <w:r>
        <w:t xml:space="preserve">es pensar o actuar para reducir el estrés; la cátedra presenta tres enfoques:</w:t>
      </w:r>
      <w:r>
        <w:t xml:space="preserve"> </w:t>
      </w:r>
      <w:r>
        <w:rPr>
          <w:b/>
          <w:bCs/>
        </w:rPr>
        <w:t xml:space="preserve">ambiental</w:t>
      </w:r>
      <w:r>
        <w:t xml:space="preserve">,</w:t>
      </w:r>
      <w:r>
        <w:t xml:space="preserve"> </w:t>
      </w:r>
      <w:r>
        <w:rPr>
          <w:b/>
          <w:bCs/>
        </w:rPr>
        <w:t xml:space="preserve">conductual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valoración cognitiva</w:t>
      </w:r>
      <w:r>
        <w:t xml:space="preserve"> </w:t>
      </w:r>
      <w:r>
        <w:t xml:space="preserve">(problema o emoción; ninguna estrategia es mala en sí). El</w:t>
      </w:r>
      <w:r>
        <w:t xml:space="preserve"> </w:t>
      </w:r>
      <w:r>
        <w:rPr>
          <w:b/>
          <w:bCs/>
        </w:rPr>
        <w:t xml:space="preserve">envejecimiento exitoso</w:t>
      </w:r>
      <w:r>
        <w:t xml:space="preserve"> </w:t>
      </w:r>
      <w:r>
        <w:t xml:space="preserve">se explica con modelos</w:t>
      </w:r>
      <w:r>
        <w:t xml:space="preserve"> </w:t>
      </w:r>
      <w:r>
        <w:rPr>
          <w:b/>
          <w:bCs/>
        </w:rPr>
        <w:t xml:space="preserve">normativos</w:t>
      </w:r>
      <w:r>
        <w:t xml:space="preserve"> </w:t>
      </w:r>
      <w:r>
        <w:t xml:space="preserve">(Peck, desvinculación, actividad) y de</w:t>
      </w:r>
      <w:r>
        <w:t xml:space="preserve"> </w:t>
      </w:r>
      <w:r>
        <w:rPr>
          <w:b/>
          <w:bCs/>
        </w:rPr>
        <w:t xml:space="preserve">equilibrio</w:t>
      </w:r>
      <w:r>
        <w:t xml:space="preserve"> </w:t>
      </w:r>
      <w:r>
        <w:t xml:space="preserve">(continuidad, Whitbourne). Cuando el afrontamiento falla aparecen</w:t>
      </w:r>
      <w:r>
        <w:t xml:space="preserve"> </w:t>
      </w:r>
      <w:r>
        <w:rPr>
          <w:b/>
          <w:bCs/>
        </w:rPr>
        <w:t xml:space="preserve">comportamientos destructivos</w:t>
      </w:r>
      <w:r>
        <w:t xml:space="preserve"> </w:t>
      </w:r>
      <w:r>
        <w:t xml:space="preserve">(Cátedra de Psicología Evolutiva, 2026h, diapositivas 4-8, 25; Papalia et al., 2009b, pp. 433-449, 461).</w:t>
      </w:r>
    </w:p>
    <w:p>
      <w:pPr>
        <w:pStyle w:val="BodyText"/>
      </w:pPr>
      <w:r>
        <w:drawing>
          <wp:inline>
            <wp:extent cx="5759999" cy="2578775"/>
            <wp:effectExtent b="0" l="0" r="0" t="0"/>
            <wp:docPr descr="Diagrama 01" title="" id="10" name="Picture"/>
            <a:graphic>
              <a:graphicData uri="http://schemas.openxmlformats.org/drawingml/2006/picture">
                <pic:pic>
                  <pic:nvPicPr>
                    <pic:cNvPr descr="C:/Users/Fmendezcasariego/OneDrive/Carpetas/Educación/Universidad/Favaloro/Psicología/2do%20Año/Psicología%20Evolutiva/3_Guias_de_Estudio/_media/C22_Afrontamiento_Repaso_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78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esqueletos-de-respuesta"/>
    <w:p>
      <w:pPr>
        <w:pStyle w:val="Heading2"/>
      </w:pPr>
      <w:r>
        <w:t xml:space="preserve">Esqueletos de respuesta</w:t>
      </w:r>
    </w:p>
    <w:p>
      <w:pPr>
        <w:pStyle w:val="FirstParagraph"/>
      </w:pPr>
      <w:r>
        <w:rPr>
          <w:b/>
          <w:bCs/>
        </w:rPr>
        <w:t xml:space="preserve">P1. Salud mental en la vejez.</w:t>
      </w:r>
      <w:r>
        <w:t xml:space="preserve"> </w:t>
      </w:r>
      <w:r>
        <w:t xml:space="preserve">1) Definición: vivir con sentido con recursos y apoyos (Kivnick, citado en p. 433). 2) Contra el estereotipo: menos enfermedad mental que en los jóvenes; tiende a mejorar (p. 461). 3) Factores: salud física, ajuste psicológico, nivel socioeconómico, eventos vitales, apoyo social (pp. 461-462).</w:t>
      </w:r>
    </w:p>
    <w:p>
      <w:pPr>
        <w:pStyle w:val="BodyText"/>
      </w:pPr>
      <w:r>
        <w:rPr>
          <w:b/>
          <w:bCs/>
        </w:rPr>
        <w:t xml:space="preserve">P2. Modelos de afrontamiento.</w:t>
      </w:r>
      <w:r>
        <w:t xml:space="preserve"> </w:t>
      </w:r>
      <w:r>
        <w:t xml:space="preserve">1) Ambiental: LCU de Holmes y Rahe (mitad de 150-300 y 70 % de más de 300 enfermaron); críticas: interpretación, momento, falta de cambio, tensiones cotidianas; congruencia y competencia-presión (pp. 435-436). 2) Conductual: condicionamiento; lucha, huida o aguante; desesperanza aprendida (p. 437). 3) Valoración cognitiva (§P3).</w:t>
      </w:r>
    </w:p>
    <w:p>
      <w:pPr>
        <w:pStyle w:val="BodyText"/>
      </w:pPr>
      <w:r>
        <w:rPr>
          <w:b/>
          <w:bCs/>
        </w:rPr>
        <w:t xml:space="preserve">P3. Valoración cognitiva.</w:t>
      </w:r>
      <w:r>
        <w:t xml:space="preserve"> </w:t>
      </w:r>
      <w:r>
        <w:t xml:space="preserve">1) Proceso dinámico ante una exigencia que supera los recursos (p. 438). 2) Recursos y restricciones personales y ambientales (p. 438). 3) Problema vs. emoción (p. 439). 4) Ninguna es mala en sí; los mayores regulan mejor la emoción; religión 17,4 % (pp. 439-442).</w:t>
      </w:r>
    </w:p>
    <w:p>
      <w:pPr>
        <w:pStyle w:val="BodyText"/>
      </w:pPr>
      <w:r>
        <w:rPr>
          <w:b/>
          <w:bCs/>
        </w:rPr>
        <w:t xml:space="preserve">P4. Envejecimiento exitoso.</w:t>
      </w:r>
      <w:r>
        <w:t xml:space="preserve"> </w:t>
      </w:r>
      <w:r>
        <w:t xml:space="preserve">1) MacArthur: evitar la enfermedad, mantener el funcionamiento, involucrarse (p. 444). 2) Críticas: presión, estilos de vida, genética, escolaridad, nivel socioeconómico (pp. 444-445). 3) Normativos: Peck (siete ajustes), desvinculación, actividad (pp. 445-447). 4) Equilibrio: continuidad (Atchley), Whitbourne (pp. 447-449).</w:t>
      </w:r>
    </w:p>
    <w:p>
      <w:pPr>
        <w:pStyle w:val="BodyText"/>
      </w:pPr>
      <w:r>
        <w:rPr>
          <w:b/>
          <w:bCs/>
        </w:rPr>
        <w:t xml:space="preserve">P5. Comportamientos destructivos.</w:t>
      </w:r>
      <w:r>
        <w:t xml:space="preserve"> </w:t>
      </w:r>
      <w:r>
        <w:t xml:space="preserve">Sustancias (subestimadas en los ancianos); violencia del compañero íntimo (normas de otra época, falta de independencia económica); abuso de ancianos (negligencia la más común; más vulnerables mujeres, personas con demencia, depresión o discapacidad) (pp. 450-458).</w:t>
      </w:r>
    </w:p>
    <w:bookmarkEnd w:id="12"/>
    <w:bookmarkStart w:id="13" w:name="no-confundir"/>
    <w:p>
      <w:pPr>
        <w:pStyle w:val="Heading2"/>
      </w:pPr>
      <w:r>
        <w:t xml:space="preserve">No confundir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Valoración cognitiva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Cuentan las demandas / cuenta cómo la persona interpreta la situación (pp. 435-438)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Congruencia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Competencia-presión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 persona-ambiente / demandas frente a habilidades (diapositiva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Enfocado en el 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Enfocado en la emoción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 la situación / manejar la respuesta emocional (p. 439)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Desvinculación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 / continuidad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Retiro gradual de roles / más actividad, mejor / la actividad importa si continúa el estilo previo (pp. 446-448)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Modelos normativos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de equilibrio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Cumplir las tareas de cada etapa / equilibrio entre continuidad y cambio, distinto en cada persona (pp. 445-449)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Daño activo / no atender necesidades (la forma más común) (pp. 457-458)</w:t>
            </w:r>
          </w:p>
        </w:tc>
      </w:tr>
    </w:tbl>
    <w:bookmarkEnd w:id="13"/>
    <w:bookmarkStart w:id="14" w:name="datos-que-conviene-saber"/>
    <w:p>
      <w:pPr>
        <w:pStyle w:val="Heading2"/>
      </w:pPr>
      <w:r>
        <w:t xml:space="preserve">Datos que conviene saber</w:t>
      </w:r>
    </w:p>
    <w:p>
      <w:pPr>
        <w:pStyle w:val="Compact"/>
        <w:numPr>
          <w:ilvl w:val="0"/>
          <w:numId w:val="1001"/>
        </w:numPr>
      </w:pPr>
      <w:r>
        <w:t xml:space="preserve">Holmes y Rahe: 5.000 pacientes; enfermó la mitad de quienes tenían 150-300 LCU y el 70 % de quienes superaban 300 (Papalia et al., 2009b, pp. 435-436).</w:t>
      </w:r>
    </w:p>
    <w:p>
      <w:pPr>
        <w:pStyle w:val="Compact"/>
        <w:numPr>
          <w:ilvl w:val="0"/>
          <w:numId w:val="1001"/>
        </w:numPr>
      </w:pPr>
      <w:r>
        <w:t xml:space="preserve">Estrategias de los mayores: religión 17,4 %, mantenerse ocupado 15,1 %, aceptación 11,3 %, apoyo familiar o de amistades 11,1 % (pp. 441-442).</w:t>
      </w:r>
    </w:p>
    <w:p>
      <w:pPr>
        <w:pStyle w:val="Compact"/>
        <w:numPr>
          <w:ilvl w:val="0"/>
          <w:numId w:val="1001"/>
        </w:numPr>
      </w:pPr>
      <w:r>
        <w:t xml:space="preserve">Siete ajustes de Peck: cuatro en la adultez media y tres en la vejez (p. 445).</w:t>
      </w:r>
    </w:p>
    <w:bookmarkEnd w:id="14"/>
    <w:bookmarkStart w:id="15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Cátedra de Psicología Evolutiva. (2026h).</w:t>
      </w:r>
      <w:r>
        <w:t xml:space="preserve"> </w:t>
      </w:r>
      <w:r>
        <w:rPr>
          <w:i/>
          <w:iCs/>
        </w:rPr>
        <w:t xml:space="preserve">Salud mental, afrontamiento y adaptación al envejecimiento</w:t>
      </w:r>
      <w:r>
        <w:t xml:space="preserve"> </w:t>
      </w:r>
      <w:r>
        <w:t xml:space="preserve">[Diapositivas de clase, unidad 10]. Universidad Favaloro.</w:t>
      </w:r>
    </w:p>
    <w:p>
      <w:pPr>
        <w:pStyle w:val="BodyText"/>
      </w:pPr>
      <w:r>
        <w:t xml:space="preserve">Papalia, D. E., Sterns, H. L., Feldman, R. D., &amp; Camp, C. J. (2009b). Salud mental, afrontamiento y adaptación al envejecimiento. En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 </w:t>
      </w:r>
      <w:r>
        <w:t xml:space="preserve">(cap. 12, pp. 431-475). McGraw Hill Interamericana.</w:t>
      </w:r>
    </w:p>
    <w:bookmarkEnd w:id="15"/>
    <w:bookmarkStart w:id="16" w:name="autoevaluación-rápida"/>
    <w:p>
      <w:pPr>
        <w:pStyle w:val="Heading2"/>
      </w:pPr>
      <w:r>
        <w:t xml:space="preserve">Autoevaluación rápida</w:t>
      </w:r>
    </w:p>
    <w:p>
      <w:pPr>
        <w:pStyle w:val="Compact"/>
        <w:numPr>
          <w:ilvl w:val="0"/>
          <w:numId w:val="1002"/>
        </w:numPr>
      </w:pPr>
      <w:r>
        <w:t xml:space="preserve">¿Por qué decimos que el deterioro de la salud mental no es típico de la vejez?</w:t>
      </w:r>
    </w:p>
    <w:p>
      <w:pPr>
        <w:pStyle w:val="Compact"/>
        <w:numPr>
          <w:ilvl w:val="0"/>
          <w:numId w:val="1002"/>
        </w:numPr>
      </w:pPr>
      <w:r>
        <w:t xml:space="preserve">¿Qué hallaron Holmes y Rahe y qué críticas recibe su modelo?</w:t>
      </w:r>
    </w:p>
    <w:p>
      <w:pPr>
        <w:pStyle w:val="Compact"/>
        <w:numPr>
          <w:ilvl w:val="0"/>
          <w:numId w:val="1002"/>
        </w:numPr>
      </w:pPr>
      <w:r>
        <w:t xml:space="preserve">¿Qué es la desesperanza aprendida?</w:t>
      </w:r>
    </w:p>
    <w:p>
      <w:pPr>
        <w:pStyle w:val="Compact"/>
        <w:numPr>
          <w:ilvl w:val="0"/>
          <w:numId w:val="1002"/>
        </w:numPr>
      </w:pPr>
      <w:r>
        <w:t xml:space="preserve">¿Qué recursos y restricciones influyen en el afrontamiento según Lazarus y Folkman?</w:t>
      </w:r>
    </w:p>
    <w:p>
      <w:pPr>
        <w:pStyle w:val="Compact"/>
        <w:numPr>
          <w:ilvl w:val="0"/>
          <w:numId w:val="1002"/>
        </w:numPr>
      </w:pPr>
      <w:r>
        <w:t xml:space="preserve">¿Qué modo de afrontamiento usarías ante la pérdida de la audición? ¿Y ante el fallecimiento del cónyuge?</w:t>
      </w:r>
    </w:p>
    <w:p>
      <w:pPr>
        <w:pStyle w:val="Compact"/>
        <w:numPr>
          <w:ilvl w:val="0"/>
          <w:numId w:val="1002"/>
        </w:numPr>
      </w:pPr>
      <w:r>
        <w:t xml:space="preserve">Los tres componentes del envejecimiento exitoso y dos críticas.</w:t>
      </w:r>
    </w:p>
    <w:p>
      <w:pPr>
        <w:pStyle w:val="Compact"/>
        <w:numPr>
          <w:ilvl w:val="0"/>
          <w:numId w:val="1002"/>
        </w:numPr>
      </w:pPr>
      <w:r>
        <w:t xml:space="preserve">Diferenciá desvinculación, actividad y continuidad.</w:t>
      </w:r>
    </w:p>
    <w:p>
      <w:pPr>
        <w:pStyle w:val="Compact"/>
        <w:numPr>
          <w:ilvl w:val="0"/>
          <w:numId w:val="1002"/>
        </w:numPr>
      </w:pPr>
      <w:r>
        <w:t xml:space="preserve">¿Cuál es la forma más común de abuso de ancianos y quiénes son más vulnerables?</w:t>
      </w:r>
    </w:p>
    <w:bookmarkEnd w:id="16"/>
    <w:bookmarkEnd w:id="17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C22 — Salud mental, afrontamiento y adaptación · Ficha de repaso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2026-10-21T03:17:44Z</dcterms:created>
  <dcterms:modified xsi:type="dcterms:W3CDTF">2026-10-21T03:17:44Z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n_saltos">
    <vt:lpwstr>True</vt:lpwstr>
  </property>
</Properties>
</file>