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ECFFB" w14:textId="77777777" w:rsidR="00016C43" w:rsidRDefault="00874C65" w:rsidP="00874C65">
      <w:pPr>
        <w:pStyle w:val="Ttulo1"/>
        <w:jc w:val="both"/>
      </w:pPr>
      <w:bookmarkStart w:id="0" w:name="Xdb4faa3de104bd0ac44f11444a68ddf2b47aaeb"/>
      <w:r>
        <w:t>Revisión Crítica: Motivación, barreras y beneficios para la práctica de ejercicio físico en una intervención mobile health</w:t>
      </w:r>
    </w:p>
    <w:p w14:paraId="201ECFFC" w14:textId="77777777" w:rsidR="00016C43" w:rsidRDefault="00874C65" w:rsidP="00874C65">
      <w:pPr>
        <w:pStyle w:val="Ttulo2"/>
        <w:jc w:val="both"/>
      </w:pPr>
      <w:bookmarkStart w:id="1" w:name="marco-teórico"/>
      <w:r>
        <w:t>Marco teórico</w:t>
      </w:r>
    </w:p>
    <w:p w14:paraId="201ECFFD" w14:textId="77777777" w:rsidR="00016C43" w:rsidRDefault="00874C65" w:rsidP="00874C65">
      <w:pPr>
        <w:pStyle w:val="FirstParagraph"/>
        <w:jc w:val="both"/>
      </w:pPr>
      <w:r>
        <w:t xml:space="preserve">El artículo se fundamenta principalmente en la </w:t>
      </w:r>
      <w:r>
        <w:rPr>
          <w:b/>
          <w:bCs/>
        </w:rPr>
        <w:t>Teoría de la Autodeterminación</w:t>
      </w:r>
      <w:r>
        <w:t xml:space="preserve"> </w:t>
      </w:r>
      <w:r>
        <w:t>(Deci &amp; Ryan, 2000), la cual postula un continuo motivacional que abarca desde la amotivación, pasando por la motivación extrínseca (regulación externa, introyectada, identificada e integrada), hasta llegar a la motivación intrínseca (autónoma). Según este</w:t>
      </w:r>
      <w:r>
        <w:t xml:space="preserve"> marco, la mantención de una conducta a largo plazo, como la actividad física, es más probable cuando la motivación se internaliza y se vuelve autónoma. Además, el estudio aborda las barreras y beneficios percibidos para el ejercicio, variables que influye</w:t>
      </w:r>
      <w:r>
        <w:t>n en la toma de decisiones y en la persistencia de la conducta promotora de salud.</w:t>
      </w:r>
    </w:p>
    <w:p w14:paraId="201ECFFE" w14:textId="77777777" w:rsidR="00016C43" w:rsidRDefault="00874C65" w:rsidP="00874C65">
      <w:pPr>
        <w:pStyle w:val="Ttulo2"/>
        <w:jc w:val="both"/>
      </w:pPr>
      <w:bookmarkStart w:id="2" w:name="antecedentes"/>
      <w:bookmarkEnd w:id="1"/>
      <w:r>
        <w:t>Antecedentes</w:t>
      </w:r>
    </w:p>
    <w:p w14:paraId="201ECFFF" w14:textId="77777777" w:rsidR="00016C43" w:rsidRDefault="00874C65" w:rsidP="00874C65">
      <w:pPr>
        <w:pStyle w:val="FirstParagraph"/>
        <w:jc w:val="both"/>
      </w:pPr>
      <w:r>
        <w:t>A nivel mundial, existe un alto porcentaje de inactividad física, lo cual representa un importante factor de riesgo para el desarrollo de enfermedades crónicas.</w:t>
      </w:r>
      <w:r>
        <w:t xml:space="preserve"> Se han identificado diversas barreras (falta de tiempo, dolor, falta de motivación) y beneficios (salud, relaciones sociales) para la práctica del ejercicio. Las intervenciones a través de </w:t>
      </w:r>
      <w:r>
        <w:rPr>
          <w:i/>
          <w:iCs/>
        </w:rPr>
        <w:t>mobile health</w:t>
      </w:r>
      <w:r>
        <w:t xml:space="preserve"> (mHealth) han demostrado ser eficaces para promover </w:t>
      </w:r>
      <w:r>
        <w:t>la actividad física, superar barreras ambientales o temporales, y aumentar los niveles de ejercicio de forma remota. Sin embargo, la evidencia respecto a cómo estas tecnologías impactan específicamente en el tipo de motivación (según la Teoría de la Autode</w:t>
      </w:r>
      <w:r>
        <w:t>terminación), las barreras y los beneficios percibidos, es todavía incipiente y requiere mayor exploración empírica.</w:t>
      </w:r>
    </w:p>
    <w:p w14:paraId="201ED000" w14:textId="77777777" w:rsidR="00016C43" w:rsidRDefault="00874C65" w:rsidP="00874C65">
      <w:pPr>
        <w:pStyle w:val="Ttulo2"/>
        <w:jc w:val="both"/>
      </w:pPr>
      <w:bookmarkStart w:id="3" w:name="experimento-y-métodos"/>
      <w:bookmarkEnd w:id="2"/>
      <w:r>
        <w:t>Experimento y métodos</w:t>
      </w:r>
    </w:p>
    <w:p w14:paraId="201ED001" w14:textId="77777777" w:rsidR="00016C43" w:rsidRDefault="00874C65" w:rsidP="00874C65">
      <w:pPr>
        <w:pStyle w:val="FirstParagraph"/>
        <w:jc w:val="both"/>
      </w:pPr>
      <w:r>
        <w:t>Se realizó un estudio cuantitativo con diseño preexperimental. La muestra, seleccionada por conveniencia, estuvo comp</w:t>
      </w:r>
      <w:r>
        <w:t>uesta por 37 adultos de la región del Biobío, Chile (96,5% mujeres, edad media de 43 años). Se conformaron dos grupos:</w:t>
      </w:r>
    </w:p>
    <w:p w14:paraId="201ED002" w14:textId="77777777" w:rsidR="00016C43" w:rsidRDefault="00874C65" w:rsidP="00874C65">
      <w:pPr>
        <w:pStyle w:val="Compact"/>
        <w:numPr>
          <w:ilvl w:val="0"/>
          <w:numId w:val="2"/>
        </w:numPr>
        <w:jc w:val="both"/>
      </w:pPr>
      <w:r>
        <w:rPr>
          <w:b/>
          <w:bCs/>
        </w:rPr>
        <w:t>Grupo mHealth (n=24):</w:t>
      </w:r>
      <w:r>
        <w:t xml:space="preserve"> Participantes que </w:t>
      </w:r>
      <w:r>
        <w:rPr>
          <w:i/>
          <w:iCs/>
        </w:rPr>
        <w:t>no realizaban</w:t>
      </w:r>
      <w:r>
        <w:t xml:space="preserve"> ejercicio físico previo y recibieron una intervención de 8 semanas de ejercicio fís</w:t>
      </w:r>
      <w:r>
        <w:t>ico vía dispositivos móviles (3 sesiones semanales).</w:t>
      </w:r>
    </w:p>
    <w:p w14:paraId="201ED003" w14:textId="77777777" w:rsidR="00016C43" w:rsidRDefault="00874C65" w:rsidP="00874C65">
      <w:pPr>
        <w:pStyle w:val="Compact"/>
        <w:numPr>
          <w:ilvl w:val="0"/>
          <w:numId w:val="2"/>
        </w:numPr>
        <w:jc w:val="both"/>
      </w:pPr>
      <w:r>
        <w:rPr>
          <w:b/>
          <w:bCs/>
        </w:rPr>
        <w:t>Grupo presencial (n=13):</w:t>
      </w:r>
      <w:r>
        <w:t xml:space="preserve"> Participantes que </w:t>
      </w:r>
      <w:r>
        <w:rPr>
          <w:i/>
          <w:iCs/>
        </w:rPr>
        <w:t>ya asistían regularmente</w:t>
      </w:r>
      <w:r>
        <w:t xml:space="preserve"> a sesiones de ejercicio físico presencial en centros de salud y continuaron con su rutina de manera normal.</w:t>
      </w:r>
    </w:p>
    <w:p w14:paraId="201ED004" w14:textId="77777777" w:rsidR="00016C43" w:rsidRDefault="00874C65" w:rsidP="00874C65">
      <w:pPr>
        <w:pStyle w:val="FirstParagraph"/>
        <w:jc w:val="both"/>
      </w:pPr>
      <w:r>
        <w:lastRenderedPageBreak/>
        <w:t>Al finalizar las 8 semanas,</w:t>
      </w:r>
      <w:r>
        <w:t xml:space="preserve"> se evaluó a ambos grupos utilizando el Cuestionario de la Regulación de la Conducta en el Ejercicio (BREQ-3) para medir los niveles y tipos de motivación, y la Escala de Beneficios/Barreras para el Ejercicio (EBBS). Los resultados mostraron que el grupo m</w:t>
      </w:r>
      <w:r>
        <w:t>Health presentó una mayor motivación de regulación externa, una menor regulación integrada y un menor índice de autodeterminación frente al grupo de ejercicio presencial. No hubo diferencias significativas en las barreras y beneficios percibidos entre ambo</w:t>
      </w:r>
      <w:r>
        <w:t>s grupos.</w:t>
      </w:r>
    </w:p>
    <w:p w14:paraId="201ED005" w14:textId="77777777" w:rsidR="00016C43" w:rsidRDefault="00874C65" w:rsidP="00874C65">
      <w:pPr>
        <w:pStyle w:val="Ttulo2"/>
        <w:jc w:val="both"/>
      </w:pPr>
      <w:bookmarkStart w:id="4" w:name="crítica-teórica-y-empírica"/>
      <w:bookmarkEnd w:id="3"/>
      <w:r>
        <w:t>Crítica teórica y empírica</w:t>
      </w:r>
    </w:p>
    <w:p w14:paraId="201ED006" w14:textId="77777777" w:rsidR="00016C43" w:rsidRDefault="00874C65" w:rsidP="00874C65">
      <w:pPr>
        <w:pStyle w:val="FirstParagraph"/>
        <w:jc w:val="both"/>
      </w:pPr>
      <w:r>
        <w:t>El análisis del artículo, sustentado exclusivamente en los marcos conceptuales de los Apuntes Extendidos de Motivación (I, II y III), revela varias consideraciones teóricas y deficiencias metodológicas centrales:</w:t>
      </w:r>
    </w:p>
    <w:p w14:paraId="201ED007" w14:textId="77777777" w:rsidR="00016C43" w:rsidRDefault="00874C65" w:rsidP="00874C65">
      <w:pPr>
        <w:numPr>
          <w:ilvl w:val="0"/>
          <w:numId w:val="3"/>
        </w:numPr>
        <w:jc w:val="both"/>
      </w:pPr>
      <w:r>
        <w:rPr>
          <w:b/>
          <w:bCs/>
        </w:rPr>
        <w:t>Confus</w:t>
      </w:r>
      <w:r>
        <w:rPr>
          <w:b/>
          <w:bCs/>
        </w:rPr>
        <w:t>ión metodológica entre Estado y Rasgo Motivacional:</w:t>
      </w:r>
      <w:r>
        <w:t xml:space="preserve"> Según Dreikurs (Apunte I), es fundamental distinguir analíticamente entre el </w:t>
      </w:r>
      <w:r>
        <w:rPr>
          <w:i/>
          <w:iCs/>
        </w:rPr>
        <w:t>estado motivacional</w:t>
      </w:r>
      <w:r>
        <w:t xml:space="preserve"> (dinámico y situacional en un mismo individuo) y el </w:t>
      </w:r>
      <w:r>
        <w:rPr>
          <w:i/>
          <w:iCs/>
        </w:rPr>
        <w:t>rasgo motivacional</w:t>
      </w:r>
      <w:r>
        <w:t xml:space="preserve"> (predisposición estable, diferencias</w:t>
      </w:r>
      <w:r>
        <w:t xml:space="preserve"> interindividuales). El diseño del estudio adolece de un grave sesgo de selección al comparar directamente a un grupo de </w:t>
      </w:r>
      <w:r>
        <w:rPr>
          <w:i/>
          <w:iCs/>
        </w:rPr>
        <w:t>novatos sedentarios</w:t>
      </w:r>
      <w:r>
        <w:t xml:space="preserve"> (mHealth) con un grupo de </w:t>
      </w:r>
      <w:r>
        <w:rPr>
          <w:i/>
          <w:iCs/>
        </w:rPr>
        <w:t>experimentados físicamente activos</w:t>
      </w:r>
      <w:r>
        <w:t xml:space="preserve"> (presencial). Las diferencias halladas en la motivació</w:t>
      </w:r>
      <w:r>
        <w:t>n integrada y externa reflejan, en realidad, un rasgo motivacional o el producto de historias de aprendizaje dispares, más que el efecto puro de la modalidad de la intervención (mHealth vs. presencial).</w:t>
      </w:r>
    </w:p>
    <w:p w14:paraId="201ED008" w14:textId="77777777" w:rsidR="00016C43" w:rsidRDefault="00874C65" w:rsidP="00874C65">
      <w:pPr>
        <w:numPr>
          <w:ilvl w:val="0"/>
          <w:numId w:val="3"/>
        </w:numPr>
        <w:jc w:val="both"/>
      </w:pPr>
      <w:r>
        <w:rPr>
          <w:b/>
          <w:bCs/>
        </w:rPr>
        <w:t>El Proceso de Internalización de la Teoría de la Auto</w:t>
      </w:r>
      <w:r>
        <w:rPr>
          <w:b/>
          <w:bCs/>
        </w:rPr>
        <w:t>determinación:</w:t>
      </w:r>
      <w:r>
        <w:t xml:space="preserve"> El estudio concluye que mHealth genera mayor motivación externa y menor autodeterminación. Sin embargo, desde la propia Teoría de la Autodeterminación de Ryan y Deci (Apuntes I y III), se entiende que la motivación extrínseca puede </w:t>
      </w:r>
      <w:r>
        <w:rPr>
          <w:i/>
          <w:iCs/>
        </w:rPr>
        <w:t>internali</w:t>
      </w:r>
      <w:r>
        <w:rPr>
          <w:i/>
          <w:iCs/>
        </w:rPr>
        <w:t>zarse</w:t>
      </w:r>
      <w:r>
        <w:t xml:space="preserve"> paulatinamente mediante procesos de asimilación. Para el grupo mHealth, la intervención funciona inicialmente como un control externo o incentivo extrínseco necesario para iniciar la conducta. Ocho semanas es un tiempo a todas luces insuficiente para</w:t>
      </w:r>
      <w:r>
        <w:t xml:space="preserve"> que individuos sedentarios consoliden la internalización hacia una regulación integrada, especialmente si se los compara con un grupo que ya posee dicha motivación internalizada. Como señala el Apunte III, si las recompensas extrínsecas de la app (feedbac</w:t>
      </w:r>
      <w:r>
        <w:t>k, progreso en tiempo real) logran adquirir un significado personal con el paso del tiempo, podrían llegar a potenciar de manera sinérgica la motivación intrínseca.</w:t>
      </w:r>
    </w:p>
    <w:p w14:paraId="201ED009" w14:textId="77777777" w:rsidR="00016C43" w:rsidRDefault="00874C65" w:rsidP="00874C65">
      <w:pPr>
        <w:numPr>
          <w:ilvl w:val="0"/>
          <w:numId w:val="3"/>
        </w:numPr>
        <w:jc w:val="both"/>
      </w:pPr>
      <w:r>
        <w:rPr>
          <w:b/>
          <w:bCs/>
        </w:rPr>
        <w:t>Incentivos, Expectativas y Autoeficacia:</w:t>
      </w:r>
      <w:r>
        <w:t xml:space="preserve"> Desde el modelo cognitivo (Rotter, Bandura; Apunte</w:t>
      </w:r>
      <w:r>
        <w:t xml:space="preserve"> III), el grupo presencial cuenta con una elevada </w:t>
      </w:r>
      <w:r>
        <w:rPr>
          <w:i/>
          <w:iCs/>
        </w:rPr>
        <w:t>autoeficacia</w:t>
      </w:r>
      <w:r>
        <w:t xml:space="preserve"> (creencia en su propia capacidad) para el ejercicio debido a su experiencia, lo que eleva estructuralmente su expectativa subjetiva de éxito. El grupo mHealth, por el contrario, depende de los </w:t>
      </w:r>
      <w:r>
        <w:t xml:space="preserve">estímulos inmediatos de la app (el </w:t>
      </w:r>
      <w:r>
        <w:lastRenderedPageBreak/>
        <w:t>valor del Incentivo - K, en términos de Hull y Spence, Apunte II) para compensar una expectativa menor y desencadenar el inicio de la conducta (fase 5 de la motivación, Apunte I). La tecnología mHealth operaría reduciendo</w:t>
      </w:r>
      <w:r>
        <w:t xml:space="preserve"> la distancia psicológica a la meta (Lewin, Apunte III) y proveyendo reforzadores externos que suplen la carencia inicial de motivación autónoma.</w:t>
      </w:r>
    </w:p>
    <w:p w14:paraId="201ED00A" w14:textId="77777777" w:rsidR="00016C43" w:rsidRDefault="00874C65" w:rsidP="00874C65">
      <w:pPr>
        <w:numPr>
          <w:ilvl w:val="0"/>
          <w:numId w:val="3"/>
        </w:numPr>
        <w:jc w:val="both"/>
      </w:pPr>
      <w:r>
        <w:rPr>
          <w:b/>
          <w:bCs/>
        </w:rPr>
        <w:t>Ausencia del análisis de Facilitación Social y Ocio:</w:t>
      </w:r>
      <w:r>
        <w:t xml:space="preserve"> El artículo omite el profundo impacto de las variables so</w:t>
      </w:r>
      <w:r>
        <w:t xml:space="preserve">ciales. Según el principio de </w:t>
      </w:r>
      <w:r>
        <w:rPr>
          <w:i/>
          <w:iCs/>
        </w:rPr>
        <w:t>Facilitación Social</w:t>
      </w:r>
      <w:r>
        <w:t xml:space="preserve"> (Zajonc, Apunte III), la mera presencia de otros en el grupo presencial (coacción y audiencia) incrementa el nivel de activación general; al tratarse de sujetos con alta destreza (dominan la tarea rutinaria</w:t>
      </w:r>
      <w:r>
        <w:t xml:space="preserve">), esto mejora notablemente su rendimiento y experiencia. Adicionalmente, desde la </w:t>
      </w:r>
      <w:r>
        <w:rPr>
          <w:i/>
          <w:iCs/>
        </w:rPr>
        <w:t>Teoría de la Motivación Social para el ocio</w:t>
      </w:r>
      <w:r>
        <w:t xml:space="preserve"> (Argyle, Apunte III), gran parte de la adherencia sostenida del grupo presencial puede explicarse por la necesidad básica de afil</w:t>
      </w:r>
      <w:r>
        <w:t>iación. El grupo mHealth, al ejercitarse de manera mediada y remota, carece de estos dinamizadores sociales, explicando en parte su dependencia hacia regulaciones más externas para el sostenimiento del esfuerzo (Deckers, Apunte I).</w:t>
      </w:r>
    </w:p>
    <w:p w14:paraId="201ED00B" w14:textId="77777777" w:rsidR="00016C43" w:rsidRDefault="00874C65" w:rsidP="00874C65">
      <w:pPr>
        <w:numPr>
          <w:ilvl w:val="0"/>
          <w:numId w:val="3"/>
        </w:numPr>
        <w:jc w:val="both"/>
      </w:pPr>
      <w:r>
        <w:rPr>
          <w:b/>
          <w:bCs/>
        </w:rPr>
        <w:t>El rol del Aprendizaje (</w:t>
      </w:r>
      <w:r>
        <w:rPr>
          <w:b/>
          <w:bCs/>
        </w:rPr>
        <w:t>Fase Apetitiva vs. Consumatoria):</w:t>
      </w:r>
      <w:r>
        <w:t xml:space="preserve"> Desde las teorías etológicas y conductuales (Craig, Apunte II), los integrantes del grupo mHealth se encuentran atravesando una </w:t>
      </w:r>
      <w:r>
        <w:rPr>
          <w:i/>
          <w:iCs/>
        </w:rPr>
        <w:t>fase apetitiva</w:t>
      </w:r>
      <w:r>
        <w:t xml:space="preserve"> del comportamiento: una etapa de ensayo, heterogénea y altamente dependiente de</w:t>
      </w:r>
      <w:r>
        <w:t>l aprendizaje y los reforzadores externos. Por su parte, el grupo presencial ha consolidado hábitos motores (H, de Hull) y rutinas que se acercan a patrones ejecutivos más rígidos o consumatorios. Al evaluar la motivación sin considerar estas distintas fas</w:t>
      </w:r>
      <w:r>
        <w:t>es de adquisición conductual (y la falta de historia de reforzamiento operante en el grupo mHealth), el estudio comete el error de comparar momentos del ciclo motivacional intrínsecamente incompatibles.</w:t>
      </w:r>
    </w:p>
    <w:bookmarkEnd w:id="4"/>
    <w:bookmarkEnd w:id="0"/>
    <w:sectPr w:rsidR="00016C43" w:rsidSect="00874C65">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238C1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8E0CF1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69645394">
    <w:abstractNumId w:val="0"/>
  </w:num>
  <w:num w:numId="2" w16cid:durableId="7015158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16459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16C43"/>
    <w:rsid w:val="00016C43"/>
    <w:rsid w:val="00874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ECFFB"/>
  <w15:docId w15:val="{D31B9613-F9F5-4C61-966B-81F1E16D0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1088</Words>
  <Characters>5986</Characters>
  <Application>Microsoft Office Word</Application>
  <DocSecurity>0</DocSecurity>
  <Lines>49</Lines>
  <Paragraphs>14</Paragraphs>
  <ScaleCrop>false</ScaleCrop>
  <Company/>
  <LinksUpToDate>false</LinksUpToDate>
  <CharactersWithSpaces>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2</cp:revision>
  <dcterms:created xsi:type="dcterms:W3CDTF">2026-09-07T23:22:00Z</dcterms:created>
  <dcterms:modified xsi:type="dcterms:W3CDTF">2026-09-07T23:22:00Z</dcterms:modified>
</cp:coreProperties>
</file>