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bd8be84d994c93eb6b103d0056dd7280aebfba4"/>
    <w:p>
      <w:pPr>
        <w:pStyle w:val="Heading1"/>
      </w:pPr>
      <w:r>
        <w:t xml:space="preserve">C22 — Afrontamiento y comportamientos destructivos · Versión de cursada</w:t>
      </w:r>
    </w:p>
    <w:p>
      <w:pPr>
        <w:pStyle w:val="RecuadroFuente"/>
      </w:pPr>
      <w:r>
        <w:rPr>
          <w:b/>
          <w:bCs/>
        </w:rPr>
        <w:t xml:space="preserve">Fuentes:</w:t>
      </w:r>
    </w:p>
    <w:p>
      <w:pPr>
        <w:pStyle w:val="RecuadroFuente"/>
      </w:pPr>
      <w:r>
        <w:t xml:space="preserve">• Papalia, D. E., Sterns, H. L., Feldman, R. D., &amp; Camp, C. J. (2009b). Salud mental, afrontamiento y adaptación al envejecimiento. En</w:t>
      </w:r>
      <w:r>
        <w:t xml:space="preserve"> </w:t>
      </w:r>
      <w:r>
        <w:rPr>
          <w:i/>
          <w:iCs/>
        </w:rPr>
        <w:t xml:space="preserve">Desarrollo del adulto y vejez</w:t>
      </w:r>
      <w:r>
        <w:t xml:space="preserve"> </w:t>
      </w:r>
      <w:r>
        <w:t xml:space="preserve">(cap. 12, pp. 431-475). McGraw Hill Interamericana.</w:t>
      </w:r>
    </w:p>
    <w:p>
      <w:pPr>
        <w:pStyle w:val="RecuadroAtencion"/>
      </w:pPr>
      <w:r>
        <w:rPr>
          <w:b/>
          <w:bCs/>
        </w:rPr>
        <w:t xml:space="preserve">Aviso sobre las fuentes:</w:t>
      </w:r>
      <w:r>
        <w:t xml:space="preserve"> </w:t>
      </w:r>
      <w:r>
        <w:t xml:space="preserve">esta es la</w:t>
      </w:r>
      <w:r>
        <w:t xml:space="preserve"> </w:t>
      </w:r>
      <w:r>
        <w:rPr>
          <w:b/>
          <w:bCs/>
        </w:rPr>
        <w:t xml:space="preserve">versión de cursada</w:t>
      </w:r>
      <w:r>
        <w:t xml:space="preserve">, pero la clase (20/10)</w:t>
      </w:r>
      <w:r>
        <w:t xml:space="preserve"> </w:t>
      </w:r>
      <w:r>
        <w:rPr>
          <w:b/>
          <w:bCs/>
        </w:rPr>
        <w:t xml:space="preserve">todavía no se dictó</w:t>
      </w:r>
      <w:r>
        <w:t xml:space="preserve">: no hay diapositivas ni apuntes, así que el recorte sigue solo el programa de la unidad 10: «afrontamiento de los cambios en el desarrollo; estilos de afrontamiento; comportamientos destructivos y efectos en la salud». Cuando tengas la presentación, ajustá el énfasis. Quedan afuera, y están en</w:t>
      </w:r>
      <w:r>
        <w:t xml:space="preserve"> </w:t>
      </w:r>
      <w:r>
        <w:rPr>
          <w:rStyle w:val="VerbatimChar"/>
        </w:rPr>
        <w:t xml:space="preserve">C22_Afrontamiento_Guia.md</w:t>
      </w:r>
      <w:r>
        <w:t xml:space="preserve">: el caso de Arthur Ashe en detalle, los recuadros (varones y roles familiares, Malasia, religión), los siete ajustes de Peck, la salud mental en la vejez (bienestar de Ryff, depresión, hipocondría, valoración de fortalezas) y las cifras de EE. UU. La</w:t>
      </w:r>
      <w:r>
        <w:t xml:space="preserve"> </w:t>
      </w:r>
      <w:r>
        <w:rPr>
          <w:b/>
          <w:bCs/>
        </w:rPr>
        <w:t xml:space="preserve">demencia</w:t>
      </w:r>
      <w:r>
        <w:t xml:space="preserve"> </w:t>
      </w:r>
      <w:r>
        <w:t xml:space="preserve">está resumida en</w:t>
      </w:r>
      <w:r>
        <w:t xml:space="preserve"> </w:t>
      </w:r>
      <w:r>
        <w:rPr>
          <w:rStyle w:val="VerbatimChar"/>
        </w:rPr>
        <w:t xml:space="preserve">C17_Memoria_Cursada_Guia.md</w:t>
      </w:r>
      <w:r>
        <w:t xml:space="preserve"> </w:t>
      </w:r>
      <w:r>
        <w:t xml:space="preserve">(§6), porque el programa la ubica en la unidad 9.</w:t>
      </w:r>
    </w:p>
    <w:p>
      <w:pPr>
        <w:pStyle w:val="RecuadroIdea"/>
      </w:pPr>
      <w:r>
        <w:rPr>
          <w:b/>
          <w:bCs/>
        </w:rPr>
        <w:t xml:space="preserve">Idea-fuerza:</w:t>
      </w:r>
      <w:r>
        <w:t xml:space="preserve"> </w:t>
      </w:r>
      <w:r>
        <w:rPr>
          <w:b/>
          <w:bCs/>
        </w:rPr>
        <w:t xml:space="preserve">Afrontar</w:t>
      </w:r>
      <w:r>
        <w:t xml:space="preserve"> </w:t>
      </w:r>
      <w:r>
        <w:t xml:space="preserve">es pensar o actuar para reducir el estrés. Los modelos van del más mecánico (</w:t>
      </w:r>
      <w:r>
        <w:rPr>
          <w:b/>
          <w:bCs/>
        </w:rPr>
        <w:t xml:space="preserve">ambiental</w:t>
      </w:r>
      <w:r>
        <w:t xml:space="preserve">: el estrés depende de cuántos cambios hay) al</w:t>
      </w:r>
      <w:r>
        <w:t xml:space="preserve"> </w:t>
      </w:r>
      <w:r>
        <w:rPr>
          <w:b/>
          <w:bCs/>
        </w:rPr>
        <w:t xml:space="preserve">conductual</w:t>
      </w:r>
      <w:r>
        <w:t xml:space="preserve"> </w:t>
      </w:r>
      <w:r>
        <w:t xml:space="preserve">(desesperanza aprendida), al de</w:t>
      </w:r>
      <w:r>
        <w:t xml:space="preserve"> </w:t>
      </w:r>
      <w:r>
        <w:rPr>
          <w:b/>
          <w:bCs/>
        </w:rPr>
        <w:t xml:space="preserve">estilos</w:t>
      </w:r>
      <w:r>
        <w:t xml:space="preserve"> </w:t>
      </w:r>
      <w:r>
        <w:t xml:space="preserve">(mecanismos más o menos maduros, Vaillant) y al de</w:t>
      </w:r>
      <w:r>
        <w:t xml:space="preserve"> </w:t>
      </w:r>
      <w:r>
        <w:rPr>
          <w:b/>
          <w:bCs/>
        </w:rPr>
        <w:t xml:space="preserve">valoración cognitiva</w:t>
      </w:r>
      <w:r>
        <w:t xml:space="preserve"> </w:t>
      </w:r>
      <w:r>
        <w:t xml:space="preserve">(Lazarus): un proceso dinámico, centrado en el</w:t>
      </w:r>
      <w:r>
        <w:t xml:space="preserve"> </w:t>
      </w:r>
      <w:r>
        <w:rPr>
          <w:b/>
          <w:bCs/>
        </w:rPr>
        <w:t xml:space="preserve">problema</w:t>
      </w:r>
      <w:r>
        <w:t xml:space="preserve"> </w:t>
      </w:r>
      <w:r>
        <w:t xml:space="preserve">o en la</w:t>
      </w:r>
      <w:r>
        <w:t xml:space="preserve"> </w:t>
      </w:r>
      <w:r>
        <w:rPr>
          <w:b/>
          <w:bCs/>
        </w:rPr>
        <w:t xml:space="preserve">emoción</w:t>
      </w:r>
      <w:r>
        <w:t xml:space="preserve">, donde ninguna estrategia es buena o mala en sí. Afrontar el propio envejecimiento puede entenderse como desvinculación, actividad o</w:t>
      </w:r>
      <w:r>
        <w:t xml:space="preserve"> </w:t>
      </w:r>
      <w:r>
        <w:rPr>
          <w:b/>
          <w:bCs/>
        </w:rPr>
        <w:t xml:space="preserve">continuidad</w:t>
      </w:r>
      <w:r>
        <w:t xml:space="preserve">. Cuando el afrontamiento falla aparecen</w:t>
      </w:r>
      <w:r>
        <w:t xml:space="preserve"> </w:t>
      </w:r>
      <w:r>
        <w:rPr>
          <w:b/>
          <w:bCs/>
        </w:rPr>
        <w:t xml:space="preserve">comportamientos destructivos</w:t>
      </w:r>
      <w:r>
        <w:t xml:space="preserve"> </w:t>
      </w:r>
      <w:r>
        <w:t xml:space="preserve">(abuso de sustancias, violencia, abuso de niños y de ancianos) que dañan la salud propia y ajena (Papalia et al., 2009b, pp. 435-460).</w:t>
      </w:r>
    </w:p>
    <w:bookmarkStart w:id="9" w:name="mapa-qué-pide-el-programa"/>
    <w:p>
      <w:pPr>
        <w:pStyle w:val="Heading2"/>
      </w:pPr>
      <w:r>
        <w:t xml:space="preserve">Mapa: qué pide el programa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Afrontamiento: qué es; modelos ambiental, conductual y de estilos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Estilos de afrontamiento: valoración cognitiva; problema vs. emoción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Afrontamiento de los cambios del envejecimiento: desvinculación, actividad, continuidad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Comportamientos destructivos y efectos en la salud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qué-es-afrontar-y-los-primeros-modelos"/>
    <w:p>
      <w:pPr>
        <w:pStyle w:val="Heading2"/>
      </w:pPr>
      <w:r>
        <w:t xml:space="preserve">1. Qué es afrontar y los primeros modelos</w:t>
      </w:r>
    </w:p>
    <w:p>
      <w:pPr>
        <w:pStyle w:val="FirstParagraph"/>
      </w:pPr>
      <w:r>
        <w:rPr>
          <w:b/>
          <w:bCs/>
        </w:rPr>
        <w:t xml:space="preserve">Afrontamiento:</w:t>
      </w:r>
      <w:r>
        <w:t xml:space="preserve"> </w:t>
      </w:r>
      <w:r>
        <w:t xml:space="preserve">pensamiento o comportamiento adaptativo dirigido a</w:t>
      </w:r>
      <w:r>
        <w:t xml:space="preserve"> </w:t>
      </w:r>
      <w:r>
        <w:rPr>
          <w:b/>
          <w:bCs/>
        </w:rPr>
        <w:t xml:space="preserve">reducir o aliviar el estrés</w:t>
      </w:r>
      <w:r>
        <w:t xml:space="preserve"> </w:t>
      </w:r>
      <w:r>
        <w:t xml:space="preserve">que surge de situaciones dolorosas, amenazantes o desafiantes. Es un aspecto importante de la</w:t>
      </w:r>
      <w:r>
        <w:t xml:space="preserve"> </w:t>
      </w:r>
      <w:r>
        <w:rPr>
          <w:b/>
          <w:bCs/>
        </w:rPr>
        <w:t xml:space="preserve">salud mental</w:t>
      </w:r>
      <w:r>
        <w:t xml:space="preserve">, que Kivnick define como «hacer lo mejor que uno puede con lo que tiene» (Kivnick, 1993, citado en Papalia et al., 2009b, p. 433; p. 435).</w:t>
      </w:r>
    </w:p>
    <w:p>
      <w:pPr>
        <w:pStyle w:val="BodyText"/>
      </w:pPr>
      <w:r>
        <w:rPr>
          <w:b/>
          <w:bCs/>
        </w:rPr>
        <w:t xml:space="preserve">Modelos ambientales</w:t>
      </w:r>
      <w:r>
        <w:t xml:space="preserve"> </w:t>
      </w:r>
      <w:r>
        <w:t xml:space="preserve">(pp. 435-436). Son</w:t>
      </w:r>
      <w:r>
        <w:t xml:space="preserve"> </w:t>
      </w:r>
      <w:r>
        <w:rPr>
          <w:b/>
          <w:bCs/>
        </w:rPr>
        <w:t xml:space="preserve">mecanicistas</w:t>
      </w:r>
      <w:r>
        <w:t xml:space="preserve">: el tamaño y la frecuencia de las demandas determinan el afrontamiento.</w:t>
      </w:r>
      <w:r>
        <w:t xml:space="preserve"> </w:t>
      </w:r>
      <w:r>
        <w:rPr>
          <w:b/>
          <w:bCs/>
        </w:rPr>
        <w:t xml:space="preserve">Holmes y Rahe</w:t>
      </w:r>
      <w:r>
        <w:t xml:space="preserve"> </w:t>
      </w:r>
      <w:r>
        <w:t xml:space="preserve">asignaron</w:t>
      </w:r>
      <w:r>
        <w:t xml:space="preserve"> </w:t>
      </w:r>
      <w:r>
        <w:rPr>
          <w:b/>
          <w:bCs/>
        </w:rPr>
        <w:t xml:space="preserve">unidades de cambio de vida</w:t>
      </w:r>
      <w:r>
        <w:t xml:space="preserve"> </w:t>
      </w:r>
      <w:r>
        <w:t xml:space="preserve">a cada evento: cuantos más cambios en un año, más probabilidad de enfermar. Sus límites: no consideran cómo la persona</w:t>
      </w:r>
      <w:r>
        <w:t xml:space="preserve"> </w:t>
      </w:r>
      <w:r>
        <w:rPr>
          <w:b/>
          <w:bCs/>
        </w:rPr>
        <w:t xml:space="preserve">interpreta</w:t>
      </w:r>
      <w:r>
        <w:t xml:space="preserve"> </w:t>
      </w:r>
      <w:r>
        <w:t xml:space="preserve">el evento, ni su momento, ni el estrés por</w:t>
      </w:r>
      <w:r>
        <w:t xml:space="preserve"> </w:t>
      </w:r>
      <w:r>
        <w:rPr>
          <w:b/>
          <w:bCs/>
        </w:rPr>
        <w:t xml:space="preserve">falta</w:t>
      </w:r>
      <w:r>
        <w:t xml:space="preserve"> </w:t>
      </w:r>
      <w:r>
        <w:t xml:space="preserve">de cambio, ni las tensiones cotidianas, ni las diferencias individuales. Dos variantes: el modelo de</w:t>
      </w:r>
      <w:r>
        <w:t xml:space="preserve"> </w:t>
      </w:r>
      <w:r>
        <w:rPr>
          <w:b/>
          <w:bCs/>
        </w:rPr>
        <w:t xml:space="preserve">congruencia</w:t>
      </w:r>
      <w:r>
        <w:t xml:space="preserve"> </w:t>
      </w:r>
      <w:r>
        <w:t xml:space="preserve">(el estrés depende del ajuste entre la persona y su ambiente) y el de</w:t>
      </w:r>
      <w:r>
        <w:t xml:space="preserve"> </w:t>
      </w:r>
      <w:r>
        <w:rPr>
          <w:b/>
          <w:bCs/>
        </w:rPr>
        <w:t xml:space="preserve">competencia-presión ambiental</w:t>
      </w:r>
      <w:r>
        <w:t xml:space="preserve"> </w:t>
      </w:r>
      <w:r>
        <w:t xml:space="preserve">(Lawton y Nahemow: la presión moderada lleva al máximo potencial; si la competencia baja o la presión sube, aparece el estrés).</w:t>
      </w:r>
    </w:p>
    <w:p>
      <w:pPr>
        <w:pStyle w:val="BodyText"/>
      </w:pPr>
      <w:r>
        <w:rPr>
          <w:b/>
          <w:bCs/>
        </w:rPr>
        <w:t xml:space="preserve">Modelos conductuales</w:t>
      </w:r>
      <w:r>
        <w:t xml:space="preserve"> </w:t>
      </w:r>
      <w:r>
        <w:t xml:space="preserve">(p. 437). El afrontamiento son adaptaciones aprendidas: ante un estresor se puede</w:t>
      </w:r>
      <w:r>
        <w:t xml:space="preserve"> </w:t>
      </w:r>
      <w:r>
        <w:rPr>
          <w:b/>
          <w:bCs/>
        </w:rPr>
        <w:t xml:space="preserve">huir, pelear o aguantar</w:t>
      </w:r>
      <w:r>
        <w:t xml:space="preserve">. Si escapar es imposible y los intentos fracasan, aparece la</w:t>
      </w:r>
      <w:r>
        <w:t xml:space="preserve"> </w:t>
      </w:r>
      <w:r>
        <w:rPr>
          <w:b/>
          <w:bCs/>
        </w:rPr>
        <w:t xml:space="preserve">desesperanza aprendida</w:t>
      </w:r>
      <w:r>
        <w:t xml:space="preserve">: dejar de intentar cambiar la situación (por ejemplo, cónyuges golpeados que siguen con su pareja).</w:t>
      </w:r>
    </w:p>
    <w:p>
      <w:pPr>
        <w:pStyle w:val="BodyText"/>
      </w:pPr>
      <w:r>
        <w:rPr>
          <w:b/>
          <w:bCs/>
        </w:rPr>
        <w:t xml:space="preserve">Modelos de estilos</w:t>
      </w:r>
      <w:r>
        <w:t xml:space="preserve"> </w:t>
      </w:r>
      <w:r>
        <w:t xml:space="preserve">(p. 437). De tradición psicoanalítica: el afrontamiento como</w:t>
      </w:r>
      <w:r>
        <w:t xml:space="preserve"> </w:t>
      </w:r>
      <w:r>
        <w:rPr>
          <w:b/>
          <w:bCs/>
        </w:rPr>
        <w:t xml:space="preserve">estilo</w:t>
      </w:r>
      <w:r>
        <w:t xml:space="preserve"> </w:t>
      </w:r>
      <w:r>
        <w:t xml:space="preserve">estable, más o menos efectivo.</w:t>
      </w:r>
      <w:r>
        <w:t xml:space="preserve"> </w:t>
      </w:r>
      <w:r>
        <w:rPr>
          <w:b/>
          <w:bCs/>
        </w:rPr>
        <w:t xml:space="preserve">Vaillant</w:t>
      </w:r>
      <w:r>
        <w:t xml:space="preserve"> </w:t>
      </w:r>
      <w:r>
        <w:t xml:space="preserve">distinguió mecanismos</w:t>
      </w:r>
      <w:r>
        <w:t xml:space="preserve"> </w:t>
      </w:r>
      <w:r>
        <w:rPr>
          <w:b/>
          <w:bCs/>
        </w:rPr>
        <w:t xml:space="preserve">maduros</w:t>
      </w:r>
      <w:r>
        <w:t xml:space="preserve"> </w:t>
      </w:r>
      <w:r>
        <w:t xml:space="preserve">(humor, ayudar a otros),</w:t>
      </w:r>
      <w:r>
        <w:t xml:space="preserve"> </w:t>
      </w:r>
      <w:r>
        <w:rPr>
          <w:b/>
          <w:bCs/>
        </w:rPr>
        <w:t xml:space="preserve">neuróticos</w:t>
      </w:r>
      <w:r>
        <w:t xml:space="preserve"> </w:t>
      </w:r>
      <w:r>
        <w:t xml:space="preserve">(reprimir),</w:t>
      </w:r>
      <w:r>
        <w:t xml:space="preserve"> </w:t>
      </w:r>
      <w:r>
        <w:rPr>
          <w:b/>
          <w:bCs/>
        </w:rPr>
        <w:t xml:space="preserve">inmaduros</w:t>
      </w:r>
      <w:r>
        <w:t xml:space="preserve"> </w:t>
      </w:r>
      <w:r>
        <w:t xml:space="preserve">(fantasear, achaques imaginarios) y</w:t>
      </w:r>
      <w:r>
        <w:t xml:space="preserve"> </w:t>
      </w:r>
      <w:r>
        <w:rPr>
          <w:b/>
          <w:bCs/>
        </w:rPr>
        <w:t xml:space="preserve">psicóticos</w:t>
      </w:r>
      <w:r>
        <w:t xml:space="preserve"> </w:t>
      </w:r>
      <w:r>
        <w:t xml:space="preserve">(negar o distorsionar la realidad); quienes usaban mecanismos maduros eran más felices y estaban más sanos.</w:t>
      </w:r>
      <w:r>
        <w:t xml:space="preserve"> </w:t>
      </w:r>
      <w:r>
        <w:rPr>
          <w:b/>
          <w:bCs/>
        </w:rPr>
        <w:t xml:space="preserve">Lazarus</w:t>
      </w:r>
      <w:r>
        <w:t xml:space="preserve"> </w:t>
      </w:r>
      <w:r>
        <w:t xml:space="preserve">los critica: no captan que una misma persona afronta distinto cada situación, no distinguen afrontar de una conducta automática y confunden el proceso con el resultado (p. 438).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modelo ambiental</w:t>
      </w:r>
      <w:r>
        <w:t xml:space="preserve"> </w:t>
      </w:r>
      <w:r>
        <w:t xml:space="preserve">(mecanicista: cuentan las demandas) con</w:t>
      </w:r>
      <w:r>
        <w:t xml:space="preserve"> </w:t>
      </w:r>
      <w:r>
        <w:rPr>
          <w:i/>
          <w:iCs/>
        </w:rPr>
        <w:t xml:space="preserve">valoración cognitiva</w:t>
      </w:r>
      <w:r>
        <w:t xml:space="preserve"> </w:t>
      </w:r>
      <w:r>
        <w:t xml:space="preserve">(contextual: cuenta cómo la persona interpreta la situación) (Papalia et al., 2009b, pp. 435-438).</w:t>
      </w:r>
    </w:p>
    <w:p>
      <w:r>
        <w:pict>
          <v:rect style="width:0;height:1.5pt" o:hralign="center" o:hrstd="t" o:hr="t"/>
        </w:pict>
      </w:r>
    </w:p>
    <w:bookmarkEnd w:id="10"/>
    <w:bookmarkStart w:id="11" w:name="Xead2ed1ed46d643e88d54fa81c95f55a572bcf2"/>
    <w:p>
      <w:pPr>
        <w:pStyle w:val="Heading2"/>
      </w:pPr>
      <w:r>
        <w:t xml:space="preserve">2. Estilos de afrontamiento: el modelo de valoración cognitiva</w:t>
      </w:r>
    </w:p>
    <w:p>
      <w:pPr>
        <w:pStyle w:val="FirstParagraph"/>
      </w:pPr>
      <w:r>
        <w:rPr>
          <w:b/>
          <w:bCs/>
        </w:rPr>
        <w:t xml:space="preserve">Lazarus y Folkman</w:t>
      </w:r>
      <w:r>
        <w:t xml:space="preserve"> </w:t>
      </w:r>
      <w:r>
        <w:t xml:space="preserve">(pp. 438-439). El afrontamiento es un</w:t>
      </w:r>
      <w:r>
        <w:t xml:space="preserve"> </w:t>
      </w:r>
      <w:r>
        <w:rPr>
          <w:b/>
          <w:bCs/>
        </w:rPr>
        <w:t xml:space="preserve">proceso dinámico</w:t>
      </w:r>
      <w:r>
        <w:t xml:space="preserve">, no un rasgo: ocurre cuando la persona percibe una exigencia que supera sus recursos. La persona</w:t>
      </w:r>
      <w:r>
        <w:t xml:space="preserve"> </w:t>
      </w:r>
      <w:r>
        <w:rPr>
          <w:b/>
          <w:bCs/>
        </w:rPr>
        <w:t xml:space="preserve">valora</w:t>
      </w:r>
      <w:r>
        <w:t xml:space="preserve"> </w:t>
      </w:r>
      <w:r>
        <w:t xml:space="preserve">la situación, sus recursos y la amenaza;</w:t>
      </w:r>
      <w:r>
        <w:t xml:space="preserve"> </w:t>
      </w:r>
      <w:r>
        <w:rPr>
          <w:b/>
          <w:bCs/>
        </w:rPr>
        <w:t xml:space="preserve">elige</w:t>
      </w:r>
      <w:r>
        <w:t xml:space="preserve"> </w:t>
      </w:r>
      <w:r>
        <w:t xml:space="preserve">una estrategia; la pone en práctica;</w:t>
      </w:r>
      <w:r>
        <w:t xml:space="preserve"> </w:t>
      </w:r>
      <w:r>
        <w:rPr>
          <w:b/>
          <w:bCs/>
        </w:rPr>
        <w:t xml:space="preserve">evalúa</w:t>
      </w:r>
      <w:r>
        <w:t xml:space="preserve"> </w:t>
      </w:r>
      <w:r>
        <w:t xml:space="preserve">el resultado y, si no funcionó,</w:t>
      </w:r>
      <w:r>
        <w:t xml:space="preserve"> </w:t>
      </w:r>
      <w:r>
        <w:rPr>
          <w:b/>
          <w:bCs/>
        </w:rPr>
        <w:t xml:space="preserve">revalora</w:t>
      </w:r>
      <w:r>
        <w:t xml:space="preserve"> </w:t>
      </w:r>
      <w:r>
        <w:t xml:space="preserve">y cambia de estrategia. La elección depende de los recursos (salud, creencias, apoyo social, dinero) y de las restricciones (personales y ambientales).</w:t>
      </w:r>
    </w:p>
    <w:p>
      <w:pPr>
        <w:pStyle w:val="BodyText"/>
      </w:pPr>
      <w:r>
        <w:rPr>
          <w:b/>
          <w:bCs/>
        </w:rPr>
        <w:t xml:space="preserve">Dos modos de afrontar</w:t>
      </w:r>
      <w:r>
        <w:t xml:space="preserve"> </w:t>
      </w:r>
      <w:r>
        <w:t xml:space="preserve">(p. 439):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Enfocado en el problema:</w:t>
      </w:r>
      <w:r>
        <w:t xml:space="preserve"> </w:t>
      </w:r>
      <w:r>
        <w:t xml:space="preserve">eliminar, gestionar o mejorar lo que causa el estrés. Predomina cuando se ve posible un cambio realista.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Enfocado en la emoción</w:t>
      </w:r>
      <w:r>
        <w:t xml:space="preserve"> </w:t>
      </w:r>
      <w:r>
        <w:t xml:space="preserve">(paliativo): manejar la respuesta emocional para sentirse mejor (distraerse, reinterpretar, negar). Predomina cuando se concluye que poco puede hacerse.</w:t>
      </w:r>
    </w:p>
    <w:p>
      <w:pPr>
        <w:pStyle w:val="FirstParagraph"/>
      </w:pPr>
      <w:r>
        <w:rPr>
          <w:b/>
          <w:bCs/>
        </w:rPr>
        <w:t xml:space="preserve">Ninguno es bueno o malo en sí: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negación</w:t>
      </w:r>
      <w:r>
        <w:t xml:space="preserve"> </w:t>
      </w:r>
      <w:r>
        <w:t xml:space="preserve">puede ser dañina (no ir al médico ante un dolor en el pecho) o útil (negarse a vivir pendiente de la muerte, como Arthur Ashe) (p. 439). Los</w:t>
      </w:r>
      <w:r>
        <w:t xml:space="preserve"> </w:t>
      </w:r>
      <w:r>
        <w:rPr>
          <w:b/>
          <w:bCs/>
        </w:rPr>
        <w:t xml:space="preserve">ancianos</w:t>
      </w:r>
      <w:r>
        <w:t xml:space="preserve"> </w:t>
      </w:r>
      <w:r>
        <w:t xml:space="preserve">usan más estrategias centradas en la emoción, pero no por incapacidad: ante problemas muy emocionales eligen regular la emoción, lo que puede ser adaptativo (Blanchard-Fields et al., 1995, citado en Papalia et al., 2009b, p. 441). La</w:t>
      </w:r>
      <w:r>
        <w:t xml:space="preserve"> </w:t>
      </w:r>
      <w:r>
        <w:rPr>
          <w:b/>
          <w:bCs/>
        </w:rPr>
        <w:t xml:space="preserve">religión</w:t>
      </w:r>
      <w:r>
        <w:t xml:space="preserve"> </w:t>
      </w:r>
      <w:r>
        <w:t xml:space="preserve">es una estrategia frecuente, sobre todo en los mayores (pp. 441-443).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el afrontamiento es pensamiento o conducta para reducir el estrés; los modelos difieren en cuánto rol activo dan a la persona.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Ambiental:</w:t>
      </w:r>
      <w:r>
        <w:t xml:space="preserve"> </w:t>
      </w:r>
      <w:r>
        <w:t xml:space="preserve">mecanicista; Holmes y Rahe (Papalia et al., 2009b, pp. 435-436).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Conductual:</w:t>
      </w:r>
      <w:r>
        <w:t xml:space="preserve"> </w:t>
      </w:r>
      <w:r>
        <w:t xml:space="preserve">desesperanza aprendida (p. 437).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Estilos:</w:t>
      </w:r>
      <w:r>
        <w:t xml:space="preserve"> </w:t>
      </w:r>
      <w:r>
        <w:t xml:space="preserve">mecanismos de Vaillant (p. 437).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Valoración cognitiva:</w:t>
      </w:r>
      <w:r>
        <w:t xml:space="preserve"> </w:t>
      </w:r>
      <w:r>
        <w:t xml:space="preserve">proceso dinámico; problema o emoción (pp. 438-439).</w:t>
      </w:r>
    </w:p>
    <w:p>
      <w:pPr>
        <w:pStyle w:val="RecuadroEsqueleto"/>
      </w:pPr>
      <w:r>
        <w:t xml:space="preserve">6. </w:t>
      </w:r>
      <w:r>
        <w:rPr>
          <w:b/>
          <w:bCs/>
        </w:rPr>
        <w:t xml:space="preserve">Cierre:</w:t>
      </w:r>
      <w:r>
        <w:t xml:space="preserve"> </w:t>
      </w:r>
      <w:r>
        <w:t xml:space="preserve">ninguna estrategia es buena o mala en sí (p. 439).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afrontamiento enfocado en el problema</w:t>
      </w:r>
      <w:r>
        <w:t xml:space="preserve"> </w:t>
      </w:r>
      <w:r>
        <w:t xml:space="preserve">(cambiar la situación) con</w:t>
      </w:r>
      <w:r>
        <w:t xml:space="preserve"> </w:t>
      </w:r>
      <w:r>
        <w:rPr>
          <w:i/>
          <w:iCs/>
        </w:rPr>
        <w:t xml:space="preserve">enfocado en la emoción</w:t>
      </w:r>
      <w:r>
        <w:t xml:space="preserve"> </w:t>
      </w:r>
      <w:r>
        <w:t xml:space="preserve">(manejar la respuesta emocional) (Papalia et al., 2009b, p. 439).</w:t>
      </w:r>
    </w:p>
    <w:p>
      <w:r>
        <w:pict>
          <v:rect style="width:0;height:1.5pt" o:hralign="center" o:hrstd="t" o:hr="t"/>
        </w:pict>
      </w:r>
    </w:p>
    <w:bookmarkEnd w:id="11"/>
    <w:bookmarkStart w:id="12" w:name="afrontar-los-cambios-del-envejecimiento"/>
    <w:p>
      <w:pPr>
        <w:pStyle w:val="Heading2"/>
      </w:pPr>
      <w:r>
        <w:t xml:space="preserve">3. Afrontar los cambios del envejecimiento</w:t>
      </w:r>
    </w:p>
    <w:p>
      <w:pPr>
        <w:pStyle w:val="FirstParagraph"/>
      </w:pPr>
      <w:r>
        <w:t xml:space="preserve">El programa habla de «afrontamiento de los cambios en el desarrollo». El capítulo lo trata como</w:t>
      </w:r>
      <w:r>
        <w:t xml:space="preserve"> </w:t>
      </w:r>
      <w:r>
        <w:rPr>
          <w:b/>
          <w:bCs/>
        </w:rPr>
        <w:t xml:space="preserve">envejecimiento exitoso</w:t>
      </w:r>
      <w:r>
        <w:t xml:space="preserve">: evitar la enfermedad y la discapacidad, mantener el funcionamiento físico y cognitivo y seguir activamente involucrado en lo social y productivo. Se lo critica porque puede cargar a los ancianos con estándares inalcanzables y «culpar a las víctimas» (Papalia et al., 2009b, pp. 444-445).</w:t>
      </w:r>
    </w:p>
    <w:p>
      <w:pPr>
        <w:pStyle w:val="BodyText"/>
      </w:pPr>
      <w:r>
        <w:t xml:space="preserve">Tres teorías sobre cómo se afronta el envejecimiento (pp. 446-448):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Desvinculación</w:t>
      </w:r>
      <w:r>
        <w:t xml:space="preserve"> </w:t>
      </w:r>
      <w:r>
        <w:t xml:space="preserve">(Cumming y Henry): el envejecimiento trae un retiro gradual,</w:t>
      </w:r>
      <w:r>
        <w:t xml:space="preserve"> </w:t>
      </w:r>
      <w:r>
        <w:rPr>
          <w:b/>
          <w:bCs/>
        </w:rPr>
        <w:t xml:space="preserve">universal e inevitable</w:t>
      </w:r>
      <w:r>
        <w:t xml:space="preserve"> </w:t>
      </w:r>
      <w:r>
        <w:t xml:space="preserve">de los roles sociales. Hoy se la considera defectuosa: según Gutmann, solo ocurre donde los ancianos no tienen roles.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Actividad</w:t>
      </w:r>
      <w:r>
        <w:t xml:space="preserve"> </w:t>
      </w:r>
      <w:r>
        <w:t xml:space="preserve">(Neugarten y colaboradores): cuanto más activa siga la persona y más</w:t>
      </w:r>
      <w:r>
        <w:t xml:space="preserve"> </w:t>
      </w:r>
      <w:r>
        <w:rPr>
          <w:b/>
          <w:bCs/>
        </w:rPr>
        <w:t xml:space="preserve">sustituya los roles perdidos</w:t>
      </w:r>
      <w:r>
        <w:t xml:space="preserve">, mejor envejece. La evidencia es mixta (importa el</w:t>
      </w:r>
      <w:r>
        <w:t xml:space="preserve"> </w:t>
      </w:r>
      <w:r>
        <w:rPr>
          <w:b/>
          <w:bCs/>
        </w:rPr>
        <w:t xml:space="preserve">tipo</w:t>
      </w:r>
      <w:r>
        <w:t xml:space="preserve"> </w:t>
      </w:r>
      <w:r>
        <w:t xml:space="preserve">de actividad) y se la considera simplista.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Continuidad</w:t>
      </w:r>
      <w:r>
        <w:t xml:space="preserve"> </w:t>
      </w:r>
      <w:r>
        <w:t xml:space="preserve">(Atchley): los mayores buscan un</w:t>
      </w:r>
      <w:r>
        <w:t xml:space="preserve"> </w:t>
      </w:r>
      <w:r>
        <w:rPr>
          <w:b/>
          <w:bCs/>
        </w:rPr>
        <w:t xml:space="preserve">equilibrio entre continuidad y cambio</w:t>
      </w:r>
      <w:r>
        <w:t xml:space="preserve"> </w:t>
      </w:r>
      <w:r>
        <w:t xml:space="preserve">con su pasado (estructuras internas y externas); la actividad importa en tanto</w:t>
      </w:r>
      <w:r>
        <w:t xml:space="preserve"> </w:t>
      </w:r>
      <w:r>
        <w:rPr>
          <w:b/>
          <w:bCs/>
        </w:rPr>
        <w:t xml:space="preserve">continúa el estilo de vida previo</w:t>
      </w:r>
      <w:r>
        <w:t xml:space="preserve">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desvinculación</w:t>
      </w:r>
      <w:r>
        <w:t xml:space="preserve"> </w:t>
      </w:r>
      <w:r>
        <w:t xml:space="preserve">(retiro universal),</w:t>
      </w:r>
      <w:r>
        <w:t xml:space="preserve"> </w:t>
      </w:r>
      <w:r>
        <w:rPr>
          <w:i/>
          <w:iCs/>
        </w:rPr>
        <w:t xml:space="preserve">actividad</w:t>
      </w:r>
      <w:r>
        <w:t xml:space="preserve"> </w:t>
      </w:r>
      <w:r>
        <w:t xml:space="preserve">(más actividad, mejor) y</w:t>
      </w:r>
      <w:r>
        <w:t xml:space="preserve"> </w:t>
      </w:r>
      <w:r>
        <w:rPr>
          <w:i/>
          <w:iCs/>
        </w:rPr>
        <w:t xml:space="preserve">continuidad</w:t>
      </w:r>
      <w:r>
        <w:t xml:space="preserve"> </w:t>
      </w:r>
      <w:r>
        <w:t xml:space="preserve">(equilibrio entre continuidad y cambio según el estilo previo) (Papalia et al., 2009b, pp. 446-448).</w:t>
      </w:r>
    </w:p>
    <w:p>
      <w:r>
        <w:pict>
          <v:rect style="width:0;height:1.5pt" o:hralign="center" o:hrstd="t" o:hr="t"/>
        </w:pict>
      </w:r>
    </w:p>
    <w:bookmarkEnd w:id="12"/>
    <w:bookmarkStart w:id="13" w:name="X081def6d69c1e2cbf5b61ef5dd2204ba8795439"/>
    <w:p>
      <w:pPr>
        <w:pStyle w:val="Heading2"/>
      </w:pPr>
      <w:r>
        <w:t xml:space="preserve">4. Comportamientos destructivos y efectos en la salud</w:t>
      </w:r>
    </w:p>
    <w:p>
      <w:pPr>
        <w:pStyle w:val="FirstParagraph"/>
      </w:pPr>
      <w:r>
        <w:t xml:space="preserve">Las conductas destructivas no son «asuntos privados»: dañan a quien las tiene y a quienes lo rodean, y con frecuencia se transmiten entre generaciones (Papalia et al., 2009b, p. 450).</w:t>
      </w:r>
    </w:p>
    <w:p>
      <w:pPr>
        <w:pStyle w:val="BodyText"/>
      </w:pPr>
      <w:r>
        <w:rPr>
          <w:b/>
          <w:bCs/>
        </w:rPr>
        <w:t xml:space="preserve">Abuso y dependencia de sustancias</w:t>
      </w:r>
      <w:r>
        <w:t xml:space="preserve"> </w:t>
      </w:r>
      <w:r>
        <w:t xml:space="preserve">(pp. 450-454). El</w:t>
      </w:r>
      <w:r>
        <w:t xml:space="preserve"> </w:t>
      </w:r>
      <w:r>
        <w:rPr>
          <w:b/>
          <w:bCs/>
        </w:rPr>
        <w:t xml:space="preserve">abuso</w:t>
      </w:r>
      <w:r>
        <w:t xml:space="preserve"> </w:t>
      </w:r>
      <w:r>
        <w:t xml:space="preserve">es un patrón de uso dañino con consecuencias (falta a las obligaciones, situaciones peligrosas, problemas legales o sociales) durante doce meses; la</w:t>
      </w:r>
      <w:r>
        <w:t xml:space="preserve"> </w:t>
      </w:r>
      <w:r>
        <w:rPr>
          <w:b/>
          <w:bCs/>
        </w:rPr>
        <w:t xml:space="preserve">dependencia</w:t>
      </w:r>
      <w:r>
        <w:t xml:space="preserve"> </w:t>
      </w:r>
      <w:r>
        <w:t xml:space="preserve">suma criterios como tolerancia creciente, abstinencia y pérdida de control. En la vejez el problema más común es el</w:t>
      </w:r>
      <w:r>
        <w:t xml:space="preserve"> </w:t>
      </w:r>
      <w:r>
        <w:rPr>
          <w:b/>
          <w:bCs/>
        </w:rPr>
        <w:t xml:space="preserve">alcohol</w:t>
      </w:r>
      <w:r>
        <w:t xml:space="preserve">, a menudo</w:t>
      </w:r>
      <w:r>
        <w:t xml:space="preserve"> </w:t>
      </w:r>
      <w:r>
        <w:rPr>
          <w:b/>
          <w:bCs/>
        </w:rPr>
        <w:t xml:space="preserve">subestimado</w:t>
      </w:r>
      <w:r>
        <w:t xml:space="preserve"> </w:t>
      </w:r>
      <w:r>
        <w:t xml:space="preserve">porque se oculta y se confunde con otros síntomas; los ancianos alcohólicos responden bien al tratamiento. Los hábitos con sustancias se fijan en la adultez temprana, así que dependen mucho de la</w:t>
      </w:r>
      <w:r>
        <w:t xml:space="preserve"> </w:t>
      </w:r>
      <w:r>
        <w:rPr>
          <w:b/>
          <w:bCs/>
        </w:rPr>
        <w:t xml:space="preserve">cohorte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Violencia del compañero íntimo</w:t>
      </w:r>
      <w:r>
        <w:t xml:space="preserve"> </w:t>
      </w:r>
      <w:r>
        <w:t xml:space="preserve">(pp. 454-456): violencia física o sexual, amenazas, abuso psicológico y acecho por parte de una pareja o ex pareja. Las víctimas suelen quedarse por baja autoestima, dependencia económica, miedo y aislamiento.</w:t>
      </w:r>
    </w:p>
    <w:p>
      <w:pPr>
        <w:pStyle w:val="BodyText"/>
      </w:pPr>
      <w:r>
        <w:rPr>
          <w:b/>
          <w:bCs/>
        </w:rPr>
        <w:t xml:space="preserve">Abuso infantil y negligencia</w:t>
      </w:r>
      <w:r>
        <w:t xml:space="preserve"> </w:t>
      </w:r>
      <w:r>
        <w:t xml:space="preserve">(pp. 457-458): el</w:t>
      </w:r>
      <w:r>
        <w:t xml:space="preserve"> </w:t>
      </w:r>
      <w:r>
        <w:rPr>
          <w:b/>
          <w:bCs/>
        </w:rPr>
        <w:t xml:space="preserve">abuso</w:t>
      </w:r>
      <w:r>
        <w:t xml:space="preserve"> </w:t>
      </w:r>
      <w:r>
        <w:t xml:space="preserve">daña activamente al niño; la</w:t>
      </w:r>
      <w:r>
        <w:t xml:space="preserve"> </w:t>
      </w:r>
      <w:r>
        <w:rPr>
          <w:b/>
          <w:bCs/>
        </w:rPr>
        <w:t xml:space="preserve">negligencia</w:t>
      </w:r>
      <w:r>
        <w:t xml:space="preserve"> </w:t>
      </w:r>
      <w:r>
        <w:t xml:space="preserve">es no satisfacer sus necesidades básicas. Es síntoma de una perturbación grave de la crianza, agravada por pobreza, alcoholismo, depresión o aislamiento.</w:t>
      </w:r>
    </w:p>
    <w:p>
      <w:pPr>
        <w:pStyle w:val="BodyText"/>
      </w:pPr>
      <w:r>
        <w:rPr>
          <w:b/>
          <w:bCs/>
        </w:rPr>
        <w:t xml:space="preserve">Abuso de ancianos</w:t>
      </w:r>
      <w:r>
        <w:t xml:space="preserve"> </w:t>
      </w:r>
      <w:r>
        <w:t xml:space="preserve">(pp. 458-460): maltrato o negligencia de ancianos dependientes o violación de sus derechos. Contra la creencia popular, ocurre sobre todo</w:t>
      </w:r>
      <w:r>
        <w:t xml:space="preserve"> </w:t>
      </w:r>
      <w:r>
        <w:rPr>
          <w:b/>
          <w:bCs/>
        </w:rPr>
        <w:t xml:space="preserve">en el hogar</w:t>
      </w:r>
      <w:r>
        <w:t xml:space="preserve">: en el</w:t>
      </w:r>
      <w:r>
        <w:t xml:space="preserve"> </w:t>
      </w:r>
      <w:r>
        <w:rPr>
          <w:b/>
          <w:bCs/>
        </w:rPr>
        <w:t xml:space="preserve">90 %</w:t>
      </w:r>
      <w:r>
        <w:t xml:space="preserve"> </w:t>
      </w:r>
      <w:r>
        <w:t xml:space="preserve">de los casos el abusador es un</w:t>
      </w:r>
      <w:r>
        <w:t xml:space="preserve"> </w:t>
      </w:r>
      <w:r>
        <w:rPr>
          <w:b/>
          <w:bCs/>
        </w:rPr>
        <w:t xml:space="preserve">familiar</w:t>
      </w:r>
      <w:r>
        <w:t xml:space="preserve">. Tipos: negligencia, abuso psicológico, explotación financiera y abuso físico. Su causa más frecuente es un</w:t>
      </w:r>
      <w:r>
        <w:t xml:space="preserve"> </w:t>
      </w:r>
      <w:r>
        <w:rPr>
          <w:b/>
          <w:bCs/>
        </w:rPr>
        <w:t xml:space="preserve">cambio en la situación familiar</w:t>
      </w:r>
      <w:r>
        <w:t xml:space="preserve"> </w:t>
      </w:r>
      <w:r>
        <w:t xml:space="preserve">que suma estrés al cuidador.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los comportamientos destructivos dañan a quien los tiene y a los demás.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Sustancias:</w:t>
      </w:r>
      <w:r>
        <w:t xml:space="preserve"> </w:t>
      </w:r>
      <w:r>
        <w:t xml:space="preserve">abuso vs. dependencia; el alcohol en la vejez, subestimado (Papalia et al., 2009b, pp. 450-454).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Violencia del compañero íntimo</w:t>
      </w:r>
      <w:r>
        <w:t xml:space="preserve"> </w:t>
      </w:r>
      <w:r>
        <w:t xml:space="preserve">(pp. 454-456).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Abuso infantil y de ancianos:</w:t>
      </w:r>
      <w:r>
        <w:t xml:space="preserve"> </w:t>
      </w:r>
      <w:r>
        <w:t xml:space="preserve">sobre todo en el hogar, por familiares (pp. 457-460).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Cierre:</w:t>
      </w:r>
      <w:r>
        <w:t xml:space="preserve"> </w:t>
      </w:r>
      <w:r>
        <w:t xml:space="preserve">efectos en la salud y transmisión entre generaciones.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abuso de sustancias</w:t>
      </w:r>
      <w:r>
        <w:t xml:space="preserve"> </w:t>
      </w:r>
      <w:r>
        <w:t xml:space="preserve">(uso dañino con consecuencias) con</w:t>
      </w:r>
      <w:r>
        <w:t xml:space="preserve"> </w:t>
      </w:r>
      <w:r>
        <w:rPr>
          <w:i/>
          <w:iCs/>
        </w:rPr>
        <w:t xml:space="preserve">dependencia</w:t>
      </w:r>
      <w:r>
        <w:t xml:space="preserve"> </w:t>
      </w:r>
      <w:r>
        <w:t xml:space="preserve">(tolerancia, abstinencia, pérdida de control); y</w:t>
      </w:r>
      <w:r>
        <w:t xml:space="preserve"> </w:t>
      </w:r>
      <w:r>
        <w:rPr>
          <w:i/>
          <w:iCs/>
        </w:rPr>
        <w:t xml:space="preserve">abuso</w:t>
      </w:r>
      <w:r>
        <w:t xml:space="preserve"> </w:t>
      </w:r>
      <w:r>
        <w:t xml:space="preserve">(daño activo) con</w:t>
      </w:r>
      <w:r>
        <w:t xml:space="preserve"> </w:t>
      </w:r>
      <w:r>
        <w:rPr>
          <w:i/>
          <w:iCs/>
        </w:rPr>
        <w:t xml:space="preserve">negligencia</w:t>
      </w:r>
      <w:r>
        <w:t xml:space="preserve"> </w:t>
      </w:r>
      <w:r>
        <w:t xml:space="preserve">(no satisfacer necesidades) (Papalia et al., 2009b, pp. 450, 457).</w:t>
      </w:r>
    </w:p>
    <w:p>
      <w:r>
        <w:pict>
          <v:rect style="width:0;height:1.5pt" o:hralign="center" o:hrstd="t" o:hr="t"/>
        </w:pict>
      </w:r>
    </w:p>
    <w:bookmarkEnd w:id="13"/>
    <w:bookmarkStart w:id="14" w:name="para-rendir-formato-del-parcial"/>
    <w:p>
      <w:pPr>
        <w:pStyle w:val="Heading2"/>
      </w:pPr>
      <w:r>
        <w:t xml:space="preserve">Para rendir (formato del parcial)</w:t>
      </w:r>
    </w:p>
    <w:p>
      <w:pPr>
        <w:pStyle w:val="FirstParagraph"/>
      </w:pPr>
      <w:r>
        <w:rPr>
          <w:b/>
          <w:bCs/>
        </w:rPr>
        <w:t xml:space="preserve">1) Opción múltiple.</w:t>
      </w:r>
      <w:r>
        <w:t xml:space="preserve"> </w:t>
      </w:r>
      <w:r>
        <w:t xml:space="preserve">En el modelo de Lazarus, el afrontamiento enfocado en la emoción: (a) busca eliminar la fuente del estrés; (b)</w:t>
      </w:r>
      <w:r>
        <w:t xml:space="preserve"> </w:t>
      </w:r>
      <w:r>
        <w:rPr>
          <w:b/>
          <w:bCs/>
        </w:rPr>
        <w:t xml:space="preserve">busca manejar la respuesta emocional para aliviar el impacto del estrés</w:t>
      </w:r>
      <w:r>
        <w:t xml:space="preserve">; (c) es siempre inmaduro; (d) solo lo usan los ancianos. —</w:t>
      </w:r>
      <w:r>
        <w:t xml:space="preserve"> </w:t>
      </w:r>
      <w:r>
        <w:rPr>
          <w:i/>
          <w:iCs/>
        </w:rPr>
        <w:t xml:space="preserve">Respuesta: b</w:t>
      </w:r>
      <w:r>
        <w:t xml:space="preserve"> </w:t>
      </w:r>
      <w:r>
        <w:t xml:space="preserve">(Papalia et al., 2009b, p. 439).</w:t>
      </w:r>
    </w:p>
    <w:p>
      <w:pPr>
        <w:pStyle w:val="BodyText"/>
      </w:pPr>
      <w:r>
        <w:rPr>
          <w:b/>
          <w:bCs/>
        </w:rPr>
        <w:t xml:space="preserve">2) Verdadero o falso.</w:t>
      </w:r>
      <w:r>
        <w:t xml:space="preserve"> </w:t>
      </w:r>
      <w:r>
        <w:t xml:space="preserve">«La mayor parte del abuso de ancianos ocurre en instituciones.» —</w:t>
      </w:r>
      <w:r>
        <w:t xml:space="preserve"> </w:t>
      </w:r>
      <w:r>
        <w:rPr>
          <w:i/>
          <w:iCs/>
        </w:rPr>
        <w:t xml:space="preserve">Falso.</w:t>
      </w:r>
      <w:r>
        <w:t xml:space="preserve"> </w:t>
      </w:r>
      <w:r>
        <w:t xml:space="preserve">Ocurre sobre todo en el hogar; en el 90 % de los casos el abusador es un familiar (p. 458).</w:t>
      </w:r>
    </w:p>
    <w:p>
      <w:pPr>
        <w:pStyle w:val="BodyText"/>
      </w:pPr>
      <w:r>
        <w:rPr>
          <w:b/>
          <w:bCs/>
        </w:rPr>
        <w:t xml:space="preserve">3) Verdadero o falso.</w:t>
      </w:r>
      <w:r>
        <w:t xml:space="preserve"> </w:t>
      </w:r>
      <w:r>
        <w:t xml:space="preserve">«Para la teoría de la continuidad, la actividad importa en tanto continúa el estilo de vida previo.» —</w:t>
      </w:r>
      <w:r>
        <w:t xml:space="preserve"> </w:t>
      </w:r>
      <w:r>
        <w:rPr>
          <w:i/>
          <w:iCs/>
        </w:rPr>
        <w:t xml:space="preserve">Verdadero</w:t>
      </w:r>
      <w:r>
        <w:t xml:space="preserve"> </w:t>
      </w:r>
      <w:r>
        <w:t xml:space="preserve">(Atchley, citado en Papalia et al., 2009b, pp. 447-448).</w:t>
      </w:r>
    </w:p>
    <w:p>
      <w:pPr>
        <w:pStyle w:val="BodyText"/>
      </w:pPr>
      <w:r>
        <w:rPr>
          <w:b/>
          <w:bCs/>
        </w:rPr>
        <w:t xml:space="preserve">4) Pregunta abierta (máx. 7 renglones).</w:t>
      </w:r>
      <w:r>
        <w:t xml:space="preserve"> </w:t>
      </w:r>
      <w:r>
        <w:rPr>
          <w:i/>
          <w:iCs/>
        </w:rPr>
        <w:t xml:space="preserve">Compará el modelo ambiental con el de valoración cognitiva.</w:t>
      </w:r>
    </w:p>
    <w:p>
      <w:pPr>
        <w:pStyle w:val="BodyText"/>
      </w:pPr>
      <w:r>
        <w:rPr>
          <w:i/>
          <w:iCs/>
        </w:rPr>
        <w:t xml:space="preserve">Respuesta modelo:</w:t>
      </w:r>
      <w:r>
        <w:t xml:space="preserve"> </w:t>
      </w:r>
      <w:r>
        <w:t xml:space="preserve">El modelo ambiental (Holmes y Rahe) es mecanicista: el tamaño y la frecuencia de los cambios determinan el afrontamiento, por lo que ignora cómo la persona interpreta el evento y sus diferencias individuales. El de valoración cognitiva (Lazarus y Folkman) es contextual y dinámico: la persona valora la situación y sus recursos, elige una estrategia (enfocada en el problema o en la emoción), evalúa el resultado y, si no funciona, revalora. Para este modelo ninguna estrategia es buena o mala en sí (Papalia et al., 2009b, pp. 435-439).</w:t>
      </w:r>
    </w:p>
    <w:bookmarkEnd w:id="14"/>
    <w:bookmarkStart w:id="15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Papalia, D. E., Sterns, H. L., Feldman, R. D., &amp; Camp, C. J. (2009b). Salud mental, afrontamiento y adaptación al envejecimiento. En</w:t>
      </w:r>
      <w:r>
        <w:t xml:space="preserve"> </w:t>
      </w:r>
      <w:r>
        <w:rPr>
          <w:i/>
          <w:iCs/>
        </w:rPr>
        <w:t xml:space="preserve">Desarrollo del adulto y vejez</w:t>
      </w:r>
      <w:r>
        <w:t xml:space="preserve"> </w:t>
      </w:r>
      <w:r>
        <w:t xml:space="preserve">(cap. 12, pp. 431-475). McGraw Hill Interamericana.</w:t>
      </w:r>
    </w:p>
    <w:bookmarkEnd w:id="15"/>
    <w:bookmarkEnd w:id="16"/>
    <w:sectPr>
      <w:headerReference r:id="rIdHdr1" w:type="default"/>
      <w:footerReference r:id="rIdFtr1" w:type="default"/>
      <w:pgSz w:h="16838" w:w="11906"/>
      <w:pgMar w:bottom="720" w:footer="397" w:gutter="0" w:header="397" w:left="720" w:right="1701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Guia"/>
    </w:pPr>
    <w:r>
      <w:t xml:space="preserve">C22 — Afrontamiento y comportamientos destructivos · Versión de cursada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/>
      <w:color w:val="14202B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color w:val="14202B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/>
      <w:color w:val="1420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00"/>
      <w:jc w:val="left"/>
    </w:pPr>
    <w:rPr>
      <w:rFonts w:ascii="Calibri" w:asciiTheme="majorHAnsi" w:cstheme="majorBidi" w:eastAsiaTheme="majorEastAsia" w:hAnsi="Calibri" w:hAnsiTheme="majorHAnsi"/>
      <w:b/>
      <w:bCs/>
      <w:color w:val="0F6B66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left"/>
    </w:pPr>
  </w:style>
  <w:style w:styleId="Date" w:type="paragraph">
    <w:name w:val="Date"/>
    <w:next w:val="BodyText"/>
    <w:qFormat/>
    <w:pPr>
      <w:keepNext/>
      <w:keepLines/>
      <w:jc w:val="left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jc w:val="left"/>
      <w:outlineLvl w:val="0"/>
    </w:pPr>
    <w:rPr>
      <w:rFonts w:ascii="Calibri" w:asciiTheme="majorHAnsi" w:cstheme="majorBidi" w:eastAsiaTheme="majorEastAsia" w:hAnsi="Calibri" w:hAnsiTheme="majorHAnsi"/>
      <w:b/>
      <w:bCs/>
      <w:color w:val="0F6B6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jc w:val="left"/>
      <w:outlineLvl w:val="1"/>
    </w:pPr>
    <w:rPr>
      <w:rFonts w:ascii="Calibri" w:asciiTheme="majorHAnsi" w:cstheme="majorBidi" w:eastAsiaTheme="majorEastAsia" w:hAnsi="Calibri" w:hAnsiTheme="majorHAnsi"/>
      <w:b/>
      <w:bCs/>
      <w:color w:val="0F6B6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Calibri" w:asciiTheme="majorHAnsi" w:cstheme="majorBidi" w:eastAsiaTheme="majorEastAsia" w:hAnsi="Calibri" w:hAnsiTheme="majorHAnsi"/>
      <w:b/>
      <w:bCs/>
      <w:color w:val="0F6B6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14202B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D1D9" w:space="8" w:sz="12" w:val="single"/>
      </w:pBdr>
      <w:spacing w:after="100" w:before="100"/>
      <w:ind w:firstLine="0" w:left="454" w:right="480"/>
    </w:pPr>
    <w:rPr>
      <w:rFonts w:ascii="Calibri" w:hAnsi="Calibri"/>
      <w:color w:val="5D6B7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left"/>
    </w:pPr>
    <w:rPr>
      <w:i/>
      <w:color w:val="5D6B78"/>
      <w:sz w:val="18"/>
    </w:rPr>
  </w:style>
  <w:style w:customStyle="1" w:styleId="TableCaption" w:type="paragraph">
    <w:name w:val="Table Caption"/>
    <w:basedOn w:val="Caption"/>
    <w:pPr>
      <w:keepNext/>
      <w:jc w:val="left"/>
    </w:pPr>
    <w:rPr>
      <w:color w:val="5D6B78"/>
      <w:sz w:val="18"/>
    </w:rPr>
  </w:style>
  <w:style w:customStyle="1" w:styleId="ImageCaption" w:type="paragraph">
    <w:name w:val="Image Caption"/>
    <w:basedOn w:val="Caption"/>
    <w:pPr>
      <w:jc w:val="left"/>
    </w:pPr>
    <w:rPr>
      <w:color w:val="5D6B78"/>
      <w:sz w:val="18"/>
    </w:r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Idea" w:type="paragraph">
    <w:name w:val="Recuadro Idea"/>
    <w:basedOn w:val="BodyText"/>
    <w:uiPriority w:val="10"/>
    <w:qFormat/>
    <w:pPr>
      <w:pBdr>
        <w:top w:color="EAF2FC" w:space="4" w:sz="4" w:val="single"/>
        <w:left w:color="2F6DB5" w:space="8" w:sz="24" w:val="single"/>
        <w:bottom w:color="EAF2FC" w:space="4" w:sz="4" w:val="single"/>
        <w:right w:color="EAF2FC" w:space="8" w:sz="4" w:val="single"/>
      </w:pBdr>
      <w:shd w:color="auto" w:fill="EAF2F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lave" w:type="paragraph">
    <w:name w:val="Recuadro Clave"/>
    <w:basedOn w:val="BodyText"/>
    <w:uiPriority w:val="10"/>
    <w:qFormat/>
    <w:pPr>
      <w:pBdr>
        <w:top w:color="FFF6DC" w:space="4" w:sz="4" w:val="single"/>
        <w:left w:color="D9A21B" w:space="8" w:sz="24" w:val="single"/>
        <w:bottom w:color="FFF6DC" w:space="4" w:sz="4" w:val="single"/>
        <w:right w:color="FFF6DC" w:space="8" w:sz="4" w:val="single"/>
      </w:pBdr>
      <w:shd w:color="auto" w:fill="FFF6D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Parcial" w:type="paragraph">
    <w:name w:val="Recuadro Parcial"/>
    <w:basedOn w:val="BodyText"/>
    <w:uiPriority w:val="10"/>
    <w:qFormat/>
    <w:pPr>
      <w:pBdr>
        <w:top w:color="E8F5EC" w:space="4" w:sz="4" w:val="single"/>
        <w:left w:color="2E8B57" w:space="8" w:sz="24" w:val="single"/>
        <w:bottom w:color="E8F5EC" w:space="4" w:sz="4" w:val="single"/>
        <w:right w:color="E8F5EC" w:space="8" w:sz="4" w:val="single"/>
      </w:pBdr>
      <w:shd w:color="auto" w:fill="E8F5E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Esqueleto" w:type="paragraph">
    <w:name w:val="Recuadro Esqueleto"/>
    <w:basedOn w:val="BodyText"/>
    <w:uiPriority w:val="10"/>
    <w:qFormat/>
    <w:pPr>
      <w:pBdr>
        <w:top w:color="E3F2F1" w:space="4" w:sz="4" w:val="single"/>
        <w:left w:color="0F6B66" w:space="8" w:sz="24" w:val="single"/>
        <w:bottom w:color="E3F2F1" w:space="4" w:sz="4" w:val="single"/>
        <w:right w:color="E3F2F1" w:space="8" w:sz="4" w:val="single"/>
      </w:pBdr>
      <w:shd w:color="auto" w:fill="E3F2F1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Atencion" w:type="paragraph">
    <w:name w:val="Recuadro Atencion"/>
    <w:basedOn w:val="BodyText"/>
    <w:uiPriority w:val="10"/>
    <w:qFormat/>
    <w:pPr>
      <w:pBdr>
        <w:top w:color="FDECEA" w:space="4" w:sz="4" w:val="single"/>
        <w:left w:color="C0392B" w:space="8" w:sz="24" w:val="single"/>
        <w:bottom w:color="FDECEA" w:space="4" w:sz="4" w:val="single"/>
        <w:right w:color="FDECEA" w:space="8" w:sz="4" w:val="single"/>
      </w:pBdr>
      <w:shd w:color="auto" w:fill="FDECEA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omplemento" w:type="paragraph">
    <w:name w:val="Recuadro Complemento"/>
    <w:basedOn w:val="BodyText"/>
    <w:uiPriority w:val="10"/>
    <w:qFormat/>
    <w:pPr>
      <w:pBdr>
        <w:top w:color="F2F4F6" w:space="4" w:sz="4" w:val="single"/>
        <w:left w:color="8A96A3" w:space="8" w:sz="24" w:val="single"/>
        <w:bottom w:color="F2F4F6" w:space="4" w:sz="4" w:val="single"/>
        <w:right w:color="F2F4F6" w:space="8" w:sz="4" w:val="single"/>
      </w:pBdr>
      <w:shd w:color="auto" w:fill="F2F4F6" w:val="clear"/>
      <w:spacing w:after="40" w:before="40" w:line="264" w:lineRule="auto"/>
      <w:ind w:left="227" w:right="227"/>
    </w:pPr>
    <w:rPr>
      <w:color w:val="3D4A57"/>
      <w:sz w:val="21"/>
      <w:szCs w:val="21"/>
    </w:rPr>
  </w:style>
  <w:style w:customStyle="1" w:styleId="RecuadroFuente" w:type="paragraph">
    <w:name w:val="Recuadro Fuente"/>
    <w:basedOn w:val="BodyText"/>
    <w:uiPriority w:val="10"/>
    <w:qFormat/>
    <w:pPr>
      <w:pBdr>
        <w:top w:color="F7F8FA" w:space="4" w:sz="4" w:val="single"/>
        <w:left w:color="C9D1D9" w:space="8" w:sz="24" w:val="single"/>
        <w:bottom w:color="F7F8FA" w:space="4" w:sz="4" w:val="single"/>
        <w:right w:color="F7F8FA" w:space="8" w:sz="4" w:val="single"/>
      </w:pBdr>
      <w:shd w:color="auto" w:fill="F7F8FA" w:val="clear"/>
      <w:spacing w:after="40" w:before="40" w:line="264" w:lineRule="auto"/>
      <w:ind w:left="227" w:right="227"/>
    </w:pPr>
    <w:rPr>
      <w:color w:val="3D4A57"/>
      <w:sz w:val="19"/>
      <w:szCs w:val="19"/>
    </w:rPr>
  </w:style>
  <w:style w:customStyle="1" w:styleId="EncabezadoGuia" w:type="paragraph">
    <w:name w:val="Encabezado guia"/>
    <w:basedOn w:val="Normal"/>
    <w:pPr>
      <w:pBdr>
        <w:bottom w:color="C9D1D9" w:space="2" w:sz="4" w:val="single"/>
      </w:pBdr>
      <w:jc w:val="right"/>
      <w:spacing w:after="0"/>
    </w:pPr>
    <w:rPr>
      <w:color w:val="5D6B78"/>
      <w:sz w:val="17"/>
    </w:rPr>
  </w:style>
  <w:style w:customStyle="1" w:styleId="PieGuia" w:type="paragraph">
    <w:name w:val="Pie guia"/>
    <w:basedOn w:val="Normal"/>
    <w:pPr>
      <w:jc w:val="center"/>
      <w:spacing w:after="0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2026-10-16T04:59:04Z</dcterms:created>
  <dcterms:modified xsi:type="dcterms:W3CDTF">2026-10-16T04:59:04Z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n_saltos">
    <vt:lpwstr>True</vt:lpwstr>
  </property>
</Properties>
</file>