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c23-muerte-y-duelo-versión-de-cursada"/>
    <w:p>
      <w:pPr>
        <w:pStyle w:val="Heading1"/>
      </w:pPr>
      <w:r>
        <w:t xml:space="preserve">C23 — Muerte y duelo · Versión de cursada</w:t>
      </w:r>
    </w:p>
    <w:p>
      <w:pPr>
        <w:pStyle w:val="RecuadroFuente"/>
      </w:pPr>
      <w:r>
        <w:rPr>
          <w:b/>
          <w:bCs/>
        </w:rPr>
        <w:t xml:space="preserve">Fuentes:</w:t>
      </w:r>
    </w:p>
    <w:p>
      <w:pPr>
        <w:pStyle w:val="RecuadroFuente"/>
      </w:pPr>
      <w:r>
        <w:t xml:space="preserve">• Papalia, D. E., Sterns, H. L., Feldman, R. D., &amp; Camp, C. J. (2009b). Lidiar con la muerte y las pérdidas.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13, pp. 476-521). McGraw Hill Interamericana.</w:t>
      </w:r>
    </w:p>
    <w:p>
      <w:pPr>
        <w:pStyle w:val="RecuadroAtencion"/>
      </w:pPr>
      <w:r>
        <w:rPr>
          <w:b/>
          <w:bCs/>
        </w:rPr>
        <w:t xml:space="preserve">Aviso sobre las fuentes:</w:t>
      </w:r>
      <w:r>
        <w:t xml:space="preserve"> </w:t>
      </w:r>
      <w:r>
        <w:t xml:space="preserve">esta es la</w:t>
      </w:r>
      <w:r>
        <w:t xml:space="preserve"> </w:t>
      </w:r>
      <w:r>
        <w:rPr>
          <w:b/>
          <w:bCs/>
        </w:rPr>
        <w:t xml:space="preserve">versión de cursada</w:t>
      </w:r>
      <w:r>
        <w:t xml:space="preserve">, pero la clase (27/10)</w:t>
      </w:r>
      <w:r>
        <w:t xml:space="preserve"> </w:t>
      </w:r>
      <w:r>
        <w:rPr>
          <w:b/>
          <w:bCs/>
        </w:rPr>
        <w:t xml:space="preserve">todavía no se dictó</w:t>
      </w:r>
      <w:r>
        <w:t xml:space="preserve">: no hay diapositivas ni apuntes, así que el recorte sigue solo el programa de la unidad 10: «proceso de aceptación de la propia muerte; cambios en las perspectivas sobre la muerte; actitudes hacia la muerte; proceso de duelo». Cuando tengas la presentación, ajustá el énfasis. Quedan afuera, y están en</w:t>
      </w:r>
      <w:r>
        <w:t xml:space="preserve"> </w:t>
      </w:r>
      <w:r>
        <w:rPr>
          <w:rStyle w:val="VerbatimChar"/>
        </w:rPr>
        <w:t xml:space="preserve">C23_MuerteYDuelo_Guia.md</w:t>
      </w:r>
      <w:r>
        <w:t xml:space="preserve">:</w:t>
      </w:r>
      <w:r>
        <w:t xml:space="preserve"> </w:t>
      </w:r>
      <w:r>
        <w:rPr>
          <w:b/>
          <w:bCs/>
        </w:rPr>
        <w:t xml:space="preserve">suicidio, eutanasia y suicidio asistido</w:t>
      </w:r>
      <w:r>
        <w:t xml:space="preserve"> </w:t>
      </w:r>
      <w:r>
        <w:t xml:space="preserve">(no figuran en el programa), la caída terminal, la pérdida de un padre o un hijo y el duelo por aborto en detalle, y las cifras de EE. UU.</w:t>
      </w:r>
    </w:p>
    <w:p>
      <w:pPr>
        <w:pStyle w:val="RecuadroIdea"/>
      </w:pPr>
      <w:r>
        <w:rPr>
          <w:b/>
          <w:bCs/>
        </w:rPr>
        <w:t xml:space="preserve">Idea-fuerza:</w:t>
      </w:r>
      <w:r>
        <w:t xml:space="preserve"> </w:t>
      </w:r>
      <w:r>
        <w:t xml:space="preserve">La muerte tiene tres aspectos —</w:t>
      </w:r>
      <w:r>
        <w:rPr>
          <w:b/>
          <w:bCs/>
        </w:rPr>
        <w:t xml:space="preserve">biológico, social y psicológico</w:t>
      </w:r>
      <w:r>
        <w:t xml:space="preserve">— y su significado depende de la cultura y de la época: hoy se la tiende a</w:t>
      </w:r>
      <w:r>
        <w:t xml:space="preserve"> </w:t>
      </w:r>
      <w:r>
        <w:rPr>
          <w:b/>
          <w:bCs/>
        </w:rPr>
        <w:t xml:space="preserve">negar</w:t>
      </w:r>
      <w:r>
        <w:t xml:space="preserve">, pero resurge el interés por afrontarla. Las actitudes cambian con la edad.</w:t>
      </w:r>
      <w:r>
        <w:t xml:space="preserve"> </w:t>
      </w:r>
      <w:r>
        <w:rPr>
          <w:b/>
          <w:bCs/>
        </w:rPr>
        <w:t xml:space="preserve">Kübler-Ross</w:t>
      </w:r>
      <w:r>
        <w:t xml:space="preserve"> </w:t>
      </w:r>
      <w:r>
        <w:t xml:space="preserve">describió cinco reacciones ante la muerte cercana, que</w:t>
      </w:r>
      <w:r>
        <w:t xml:space="preserve"> </w:t>
      </w:r>
      <w:r>
        <w:rPr>
          <w:b/>
          <w:bCs/>
        </w:rPr>
        <w:t xml:space="preserve">no son etapas universales</w:t>
      </w:r>
      <w:r>
        <w:t xml:space="preserve">. El</w:t>
      </w:r>
      <w:r>
        <w:t xml:space="preserve"> </w:t>
      </w:r>
      <w:r>
        <w:rPr>
          <w:b/>
          <w:bCs/>
        </w:rPr>
        <w:t xml:space="preserve">duelo</w:t>
      </w:r>
      <w:r>
        <w:t xml:space="preserve"> </w:t>
      </w:r>
      <w:r>
        <w:t xml:space="preserve">no sigue un único patrón: lo más frecuente en los viudos mayores es la</w:t>
      </w:r>
      <w:r>
        <w:t xml:space="preserve"> </w:t>
      </w:r>
      <w:r>
        <w:rPr>
          <w:b/>
          <w:bCs/>
        </w:rPr>
        <w:t xml:space="preserve">resiliencia</w:t>
      </w:r>
      <w:r>
        <w:t xml:space="preserve">. Encontrar sentido a la vida reduce el miedo a morir (Papalia et al., 2009b, pp. 478-487, 495-496, 517-519).</w:t>
      </w:r>
    </w:p>
    <w:bookmarkStart w:id="9" w:name="mapa-qué-pide-el-programa"/>
    <w:p>
      <w:pPr>
        <w:pStyle w:val="Heading2"/>
      </w:pPr>
      <w:r>
        <w:t xml:space="preserve">Mapa: qué pide el programa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Cambios en las perspectivas sobre la muerte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Actitudes hacia la muerte según la edad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 de aceptación de la propia muerte: Kübler-Ross, revisión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Proceso de duelo: duelo, pena, luto; patrones; viudez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X28857ffbd6d94ba7f4f6b08fb1e6ff9a5cbc2da"/>
    <w:p>
      <w:pPr>
        <w:pStyle w:val="Heading2"/>
      </w:pPr>
      <w:r>
        <w:t xml:space="preserve">1. Cambios en las perspectivas sobre la muerte</w:t>
      </w:r>
    </w:p>
    <w:p>
      <w:pPr>
        <w:pStyle w:val="FirstParagraph"/>
      </w:pPr>
      <w:r>
        <w:rPr>
          <w:b/>
          <w:bCs/>
        </w:rPr>
        <w:t xml:space="preserve">La «revolución en la mortalidad».</w:t>
      </w:r>
      <w:r>
        <w:t xml:space="preserve"> </w:t>
      </w:r>
      <w:r>
        <w:t xml:space="preserve">Antes de los tiempos modernos la muerte era cotidiana: más de un tercio de los bebés moría en la infancia y se esperaba que algunos hijos murieran jóvenes. Los avances médicos y sanitarios hicieron que hoy casi</w:t>
      </w:r>
      <w:r>
        <w:t xml:space="preserve"> </w:t>
      </w:r>
      <w:r>
        <w:rPr>
          <w:b/>
          <w:bCs/>
        </w:rPr>
        <w:t xml:space="preserve">tres cuartas partes</w:t>
      </w:r>
      <w:r>
        <w:t xml:space="preserve"> </w:t>
      </w:r>
      <w:r>
        <w:t xml:space="preserve">de las muertes en EE. UU. ocurran después de los 65. La muerte se volvió «</w:t>
      </w:r>
      <w:r>
        <w:rPr>
          <w:b/>
          <w:bCs/>
        </w:rPr>
        <w:t xml:space="preserve">invisible y abstracta</w:t>
      </w:r>
      <w:r>
        <w:t xml:space="preserve">»: el cuidado del moribundo pasó de la familia a los profesionales, y más de dos de cada tres muertes ocurrían fuera del hogar (Papalia et al., 2009b, pp. 478-479). El caso de</w:t>
      </w:r>
      <w:r>
        <w:t xml:space="preserve"> </w:t>
      </w:r>
      <w:r>
        <w:rPr>
          <w:i/>
          <w:iCs/>
        </w:rPr>
        <w:t xml:space="preserve">Mujercitas</w:t>
      </w:r>
      <w:r>
        <w:t xml:space="preserve"> </w:t>
      </w:r>
      <w:r>
        <w:t xml:space="preserve">(Louisa May Alcott, que cuidó a su hermana moribunda en casa) muestra el modelo anterior.</w:t>
      </w:r>
    </w:p>
    <w:p>
      <w:pPr>
        <w:pStyle w:val="BodyText"/>
      </w:pPr>
      <w:r>
        <w:rPr>
          <w:b/>
          <w:bCs/>
        </w:rPr>
        <w:t xml:space="preserve">Tres aspectos de la muerte</w:t>
      </w:r>
      <w:r>
        <w:t xml:space="preserve"> </w:t>
      </w:r>
      <w:r>
        <w:t xml:space="preserve">(pp. 479-481):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Biológico:</w:t>
      </w:r>
      <w:r>
        <w:t xml:space="preserve"> </w:t>
      </w:r>
      <w:r>
        <w:t xml:space="preserve">la suspensión de los procesos corporales; la tecnología lo volvió más complejo (personas mantenidas con soporte vital).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Social:</w:t>
      </w:r>
      <w:r>
        <w:t xml:space="preserve"> </w:t>
      </w:r>
      <w:r>
        <w:t xml:space="preserve">actitudes, cuidado del moribundo, dónde se muere, rituales de duelo, herencia. Varía mucho entre culturas (en Japón se mantiene un altar a los ancestros; los hopi intentan olvidar al muerto; en México se vela en las tumbas el Día de Muertos).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Psicológico:</w:t>
      </w:r>
      <w:r>
        <w:t xml:space="preserve"> </w:t>
      </w:r>
      <w:r>
        <w:t xml:space="preserve">cómo se siente cada persona ante su muerte y la de sus seres queridos. Los</w:t>
      </w:r>
      <w:r>
        <w:t xml:space="preserve"> </w:t>
      </w:r>
      <w:r>
        <w:rPr>
          <w:b/>
          <w:bCs/>
        </w:rPr>
        <w:t xml:space="preserve">rituales</w:t>
      </w:r>
      <w:r>
        <w:t xml:space="preserve"> </w:t>
      </w:r>
      <w:r>
        <w:t xml:space="preserve">dan algo que hacer cuando uno se sentiría desamparado.</w:t>
      </w:r>
    </w:p>
    <w:p>
      <w:pPr>
        <w:pStyle w:val="FirstParagraph"/>
      </w:pPr>
      <w:r>
        <w:rPr>
          <w:b/>
          <w:bCs/>
        </w:rPr>
        <w:t xml:space="preserve">Hoy:</w:t>
      </w:r>
      <w:r>
        <w:t xml:space="preserve"> </w:t>
      </w:r>
      <w:r>
        <w:t xml:space="preserve">en la sociedad occidental predominan la</w:t>
      </w:r>
      <w:r>
        <w:t xml:space="preserve"> </w:t>
      </w:r>
      <w:r>
        <w:rPr>
          <w:b/>
          <w:bCs/>
        </w:rPr>
        <w:t xml:space="preserve">evitación y la negación</w:t>
      </w:r>
      <w:r>
        <w:t xml:space="preserve">, pero resurge el interés por afrontar la muerte: la</w:t>
      </w:r>
      <w:r>
        <w:t xml:space="preserve"> </w:t>
      </w:r>
      <w:r>
        <w:rPr>
          <w:b/>
          <w:bCs/>
        </w:rPr>
        <w:t xml:space="preserve">tanatología</w:t>
      </w:r>
      <w:r>
        <w:t xml:space="preserve"> </w:t>
      </w:r>
      <w:r>
        <w:t xml:space="preserve">(estudio de la muerte y el proceso de morir), la</w:t>
      </w:r>
      <w:r>
        <w:t xml:space="preserve"> </w:t>
      </w:r>
      <w:r>
        <w:rPr>
          <w:b/>
          <w:bCs/>
        </w:rPr>
        <w:t xml:space="preserve">educación para la muerte</w:t>
      </w:r>
      <w:r>
        <w:t xml:space="preserve"> </w:t>
      </w:r>
      <w:r>
        <w:t xml:space="preserve">y el</w:t>
      </w:r>
      <w:r>
        <w:t xml:space="preserve"> </w:t>
      </w:r>
      <w:r>
        <w:rPr>
          <w:b/>
          <w:bCs/>
        </w:rPr>
        <w:t xml:space="preserve">cuidado de hospicio</w:t>
      </w:r>
      <w:r>
        <w:t xml:space="preserve">, una atención</w:t>
      </w:r>
      <w:r>
        <w:t xml:space="preserve"> </w:t>
      </w:r>
      <w:r>
        <w:rPr>
          <w:b/>
          <w:bCs/>
        </w:rPr>
        <w:t xml:space="preserve">paliativa</w:t>
      </w:r>
      <w:r>
        <w:t xml:space="preserve"> </w:t>
      </w:r>
      <w:r>
        <w:t xml:space="preserve">(aliviar el dolor y dar calidad de vida) centrada en el enfermo terminal y su familia (pp. 481-482).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cuidado de hospicio</w:t>
      </w:r>
      <w:r>
        <w:t xml:space="preserve"> </w:t>
      </w:r>
      <w:r>
        <w:t xml:space="preserve">(paliativo, centrado en la familia) con</w:t>
      </w:r>
      <w:r>
        <w:t xml:space="preserve"> </w:t>
      </w:r>
      <w:r>
        <w:rPr>
          <w:i/>
          <w:iCs/>
        </w:rPr>
        <w:t xml:space="preserve">cuidado hospitalario</w:t>
      </w:r>
      <w:r>
        <w:t xml:space="preserve"> </w:t>
      </w:r>
      <w:r>
        <w:t xml:space="preserve">tradicional (orientado a curar) (Papalia et al., 2009b, pp. 481-482).</w:t>
      </w:r>
    </w:p>
    <w:p>
      <w:r>
        <w:pict>
          <v:rect style="width:0;height:1.5pt" o:hralign="center" o:hrstd="t" o:hr="t"/>
        </w:pict>
      </w:r>
    </w:p>
    <w:bookmarkEnd w:id="10"/>
    <w:bookmarkStart w:id="11" w:name="actitudes-hacia-la-muerte-según-la-edad"/>
    <w:p>
      <w:pPr>
        <w:pStyle w:val="Heading2"/>
      </w:pPr>
      <w:r>
        <w:t xml:space="preserve">2. Actitudes hacia la muerte según la edad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Adultez joven:</w:t>
      </w:r>
      <w:r>
        <w:t xml:space="preserve"> </w:t>
      </w:r>
      <w:r>
        <w:t xml:space="preserve">la mayoría evita pensar en la muerte; sienten que no les puede pasar. Si enferman gravemente, sienten una</w:t>
      </w:r>
      <w:r>
        <w:t xml:space="preserve"> </w:t>
      </w:r>
      <w:r>
        <w:rPr>
          <w:b/>
          <w:bCs/>
        </w:rPr>
        <w:t xml:space="preserve">frustración</w:t>
      </w:r>
      <w:r>
        <w:t xml:space="preserve"> </w:t>
      </w:r>
      <w:r>
        <w:t xml:space="preserve">intensa («trabajaron tanto… para nada») que se vuelve ira (Papalia et al., 2009b, p. 483).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Adultez media:</w:t>
      </w:r>
      <w:r>
        <w:t xml:space="preserve"> </w:t>
      </w:r>
      <w:r>
        <w:t xml:space="preserve">es cuando la mayoría</w:t>
      </w:r>
      <w:r>
        <w:t xml:space="preserve"> </w:t>
      </w:r>
      <w:r>
        <w:rPr>
          <w:b/>
          <w:bCs/>
        </w:rPr>
        <w:t xml:space="preserve">toma conciencia de que va a morir</w:t>
      </w:r>
      <w:r>
        <w:t xml:space="preserve">: más obituarios con nombres conocidos, señales del cuerpo, la muerte de los padres (se pasa a ser la «generación más vieja»). Cambia la percepción del tiempo: de cuántos años se vivieron a</w:t>
      </w:r>
      <w:r>
        <w:t xml:space="preserve"> </w:t>
      </w:r>
      <w:r>
        <w:rPr>
          <w:b/>
          <w:bCs/>
        </w:rPr>
        <w:t xml:space="preserve">cuántos quedan</w:t>
      </w:r>
      <w:r>
        <w:t xml:space="preserve"> </w:t>
      </w:r>
      <w:r>
        <w:t xml:space="preserve">(Neugarten) (pp. 483-484).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Adultez tardía:</w:t>
      </w:r>
      <w:r>
        <w:t xml:space="preserve"> </w:t>
      </w:r>
      <w:r>
        <w:t xml:space="preserve">en general están</w:t>
      </w:r>
      <w:r>
        <w:t xml:space="preserve"> </w:t>
      </w:r>
      <w:r>
        <w:rPr>
          <w:b/>
          <w:bCs/>
        </w:rPr>
        <w:t xml:space="preserve">menos ansiosos</w:t>
      </w:r>
      <w:r>
        <w:t xml:space="preserve"> </w:t>
      </w:r>
      <w:r>
        <w:t xml:space="preserve">ante la muerte que los adultos medios y usan más estrategias centradas en la emoción. Según</w:t>
      </w:r>
      <w:r>
        <w:t xml:space="preserve"> </w:t>
      </w:r>
      <w:r>
        <w:rPr>
          <w:b/>
          <w:bCs/>
        </w:rPr>
        <w:t xml:space="preserve">Erikson</w:t>
      </w:r>
      <w:r>
        <w:t xml:space="preserve">, enfrentan la crisis de</w:t>
      </w:r>
      <w:r>
        <w:t xml:space="preserve"> </w:t>
      </w:r>
      <w:r>
        <w:rPr>
          <w:b/>
          <w:bCs/>
        </w:rPr>
        <w:t xml:space="preserve">integridad vs. desesperación</w:t>
      </w:r>
      <w:r>
        <w:t xml:space="preserve">: quienes la resuelven aceptan lo que hicieron con su vida y su muerte cercana; quienes sienten que su vida tuvo sentido la enfrentan mejor (p. 484).</w:t>
      </w:r>
    </w:p>
    <w:p>
      <w:pPr>
        <w:pStyle w:val="FirstParagraph"/>
      </w:pPr>
      <w:r>
        <w:rPr>
          <w:b/>
          <w:bCs/>
        </w:rPr>
        <w:t xml:space="preserve">La muerte no significa lo mismo para todos:</w:t>
      </w:r>
      <w:r>
        <w:t xml:space="preserve"> </w:t>
      </w:r>
      <w:r>
        <w:t xml:space="preserve">depende del momento en que llega (no es igual a los 20 que a los 85), de la cultura y de la cohorte (p. 482).</w:t>
      </w:r>
    </w:p>
    <w:p>
      <w:r>
        <w:pict>
          <v:rect style="width:0;height:1.5pt" o:hralign="center" o:hrstd="t" o:hr="t"/>
        </w:pict>
      </w:r>
    </w:p>
    <w:bookmarkEnd w:id="11"/>
    <w:bookmarkStart w:id="12" w:name="X7d1606506d4e41a54ad94df27e7340cd8d9f8e3"/>
    <w:p>
      <w:pPr>
        <w:pStyle w:val="Heading2"/>
      </w:pPr>
      <w:r>
        <w:t xml:space="preserve">3. El proceso de aceptación de la propia muerte</w:t>
      </w:r>
    </w:p>
    <w:p>
      <w:pPr>
        <w:pStyle w:val="FirstParagraph"/>
      </w:pPr>
      <w:r>
        <w:rPr>
          <w:b/>
          <w:bCs/>
        </w:rPr>
        <w:t xml:space="preserve">Kübler-Ross</w:t>
      </w:r>
      <w:r>
        <w:t xml:space="preserve"> </w:t>
      </w:r>
      <w:r>
        <w:t xml:space="preserve">(pp. 487-489). Psiquiatra que habló con unos</w:t>
      </w:r>
      <w:r>
        <w:t xml:space="preserve"> </w:t>
      </w:r>
      <w:r>
        <w:rPr>
          <w:b/>
          <w:bCs/>
        </w:rPr>
        <w:t xml:space="preserve">500 pacientes terminales</w:t>
      </w:r>
      <w:r>
        <w:t xml:space="preserve"> </w:t>
      </w:r>
      <w:r>
        <w:t xml:space="preserve">y notó que la mayoría agradece hablar abiertamente de su condición. Describió</w:t>
      </w:r>
      <w:r>
        <w:t xml:space="preserve"> </w:t>
      </w:r>
      <w:r>
        <w:rPr>
          <w:b/>
          <w:bCs/>
        </w:rPr>
        <w:t xml:space="preserve">cinco reacciones</w:t>
      </w:r>
      <w:r>
        <w:t xml:space="preserve"> </w:t>
      </w:r>
      <w:r>
        <w:t xml:space="preserve">ante la muerte cercana: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Negación:</w:t>
      </w:r>
      <w:r>
        <w:t xml:space="preserve"> </w:t>
      </w:r>
      <w:r>
        <w:t xml:space="preserve">«¡Esto no me puede pasar a mí!».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Ira:</w:t>
      </w:r>
      <w:r>
        <w:t xml:space="preserve"> </w:t>
      </w:r>
      <w:r>
        <w:t xml:space="preserve">«¿Por qué yo?»; envidia de los jóvenes y sanos.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Negociación:</w:t>
      </w:r>
      <w:r>
        <w:t xml:space="preserve"> </w:t>
      </w:r>
      <w:r>
        <w:t xml:space="preserve">pedir tiempo extra («si llego a la boda de mi hijo…»).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Depresión:</w:t>
      </w:r>
      <w:r>
        <w:t xml:space="preserve"> </w:t>
      </w:r>
      <w:r>
        <w:t xml:space="preserve">llorar la pérdida de la propia vida.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Aceptación:</w:t>
      </w:r>
      <w:r>
        <w:t xml:space="preserve"> </w:t>
      </w:r>
      <w:r>
        <w:t xml:space="preserve">«Mi hora está cerca, y está bien».</w:t>
      </w:r>
    </w:p>
    <w:p>
      <w:pPr>
        <w:pStyle w:val="FirstParagraph"/>
      </w:pPr>
      <w:r>
        <w:rPr>
          <w:b/>
          <w:bCs/>
        </w:rPr>
        <w:t xml:space="preserve">Críticas</w:t>
      </w:r>
      <w:r>
        <w:t xml:space="preserve"> </w:t>
      </w:r>
      <w:r>
        <w:t xml:space="preserve">(p. 487): no son</w:t>
      </w:r>
      <w:r>
        <w:t xml:space="preserve"> </w:t>
      </w:r>
      <w:r>
        <w:rPr>
          <w:b/>
          <w:bCs/>
        </w:rPr>
        <w:t xml:space="preserve">verdaderas etapas</w:t>
      </w:r>
      <w:r>
        <w:t xml:space="preserve">: no todos pasan por las cinco ni en ese orden (se puede ir y venir entre la ira y la depresión, o sentir ambas); las reacciones varían con la edad, el sexo, la cultura y la personalidad; y para algunas personas la negación o la ira son más saludables que la aceptación. Por eso no deben usarse como criterio de un «buen morir».</w:t>
      </w:r>
    </w:p>
    <w:p>
      <w:pPr>
        <w:pStyle w:val="BodyText"/>
      </w:pPr>
      <w:r>
        <w:rPr>
          <w:b/>
          <w:bCs/>
        </w:rPr>
        <w:t xml:space="preserve">Encontrar sentido</w:t>
      </w:r>
      <w:r>
        <w:t xml:space="preserve"> </w:t>
      </w:r>
      <w:r>
        <w:t xml:space="preserve">(pp. 516-519). La</w:t>
      </w:r>
      <w:r>
        <w:t xml:space="preserve"> </w:t>
      </w:r>
      <w:r>
        <w:rPr>
          <w:b/>
          <w:bCs/>
        </w:rPr>
        <w:t xml:space="preserve">revisión de vida</w:t>
      </w:r>
      <w:r>
        <w:t xml:space="preserve">, un proceso de reminiscencia común en la vejez, ayuda a lograr la</w:t>
      </w:r>
      <w:r>
        <w:t xml:space="preserve"> </w:t>
      </w:r>
      <w:r>
        <w:rPr>
          <w:b/>
          <w:bCs/>
        </w:rPr>
        <w:t xml:space="preserve">integridad del yo</w:t>
      </w:r>
      <w:r>
        <w:t xml:space="preserve"> </w:t>
      </w:r>
      <w:r>
        <w:t xml:space="preserve">(Erikson): permite reexaminar valores y completar tareas pendientes, como reconciliarse con alguien. Quienes encuentran</w:t>
      </w:r>
      <w:r>
        <w:t xml:space="preserve"> </w:t>
      </w:r>
      <w:r>
        <w:rPr>
          <w:b/>
          <w:bCs/>
        </w:rPr>
        <w:t xml:space="preserve">más propósito en la vida tienen menos miedo a morir</w:t>
      </w:r>
      <w:r>
        <w:t xml:space="preserve"> </w:t>
      </w:r>
      <w:r>
        <w:t xml:space="preserve">(Durlak, 1973, citado en Papalia et al., 2009b, p. 519).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cinco reacciones frecuentes ante la muerte cercana, no un modelo universal.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Etapas:</w:t>
      </w:r>
      <w:r>
        <w:t xml:space="preserve"> </w:t>
      </w:r>
      <w:r>
        <w:t xml:space="preserve">negación, ira, negociación, depresión, aceptación (Papalia et al., 2009b, p. 487).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Base:</w:t>
      </w:r>
      <w:r>
        <w:t xml:space="preserve"> </w:t>
      </w:r>
      <w:r>
        <w:t xml:space="preserve">unos 500 pacientes terminales (p. 487).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Críticas:</w:t>
      </w:r>
      <w:r>
        <w:t xml:space="preserve"> </w:t>
      </w:r>
      <w:r>
        <w:t xml:space="preserve">no son verdaderas etapas; no secuenciales; no son criterio de «buen morir» (p. 487).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Cierre:</w:t>
      </w:r>
      <w:r>
        <w:t xml:space="preserve"> </w:t>
      </w:r>
      <w:r>
        <w:t xml:space="preserve">el sentido de la vida reduce el miedo a morir (p. 519).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t xml:space="preserve">las</w:t>
      </w:r>
      <w:r>
        <w:t xml:space="preserve"> </w:t>
      </w:r>
      <w:r>
        <w:rPr>
          <w:i/>
          <w:iCs/>
        </w:rPr>
        <w:t xml:space="preserve">etapas de Kübler-Ross</w:t>
      </w:r>
      <w:r>
        <w:t xml:space="preserve"> </w:t>
      </w:r>
      <w:r>
        <w:t xml:space="preserve">(reacciones frecuentes) con una</w:t>
      </w:r>
      <w:r>
        <w:t xml:space="preserve"> </w:t>
      </w:r>
      <w:r>
        <w:rPr>
          <w:i/>
          <w:iCs/>
        </w:rPr>
        <w:t xml:space="preserve">teoría de etapas universal y ordenada</w:t>
      </w:r>
      <w:r>
        <w:t xml:space="preserve"> </w:t>
      </w:r>
      <w:r>
        <w:t xml:space="preserve">(Papalia et al., 2009b, p. 487).</w:t>
      </w:r>
    </w:p>
    <w:p>
      <w:r>
        <w:pict>
          <v:rect style="width:0;height:1.5pt" o:hralign="center" o:hrstd="t" o:hr="t"/>
        </w:pict>
      </w:r>
    </w:p>
    <w:bookmarkEnd w:id="12"/>
    <w:bookmarkStart w:id="13" w:name="el-proceso-de-duelo"/>
    <w:p>
      <w:pPr>
        <w:pStyle w:val="Heading2"/>
      </w:pPr>
      <w:r>
        <w:t xml:space="preserve">4. El proceso de duelo</w:t>
      </w:r>
    </w:p>
    <w:p>
      <w:pPr>
        <w:pStyle w:val="FirstParagraph"/>
      </w:pPr>
      <w:r>
        <w:rPr>
          <w:b/>
          <w:bCs/>
        </w:rPr>
        <w:t xml:space="preserve">Tres términos</w:t>
      </w:r>
      <w:r>
        <w:t xml:space="preserve"> </w:t>
      </w:r>
      <w:r>
        <w:t xml:space="preserve">(Papalia et al., 2009b, p. 487):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Duelo:</w:t>
      </w:r>
      <w:r>
        <w:t xml:space="preserve"> </w:t>
      </w:r>
      <w:r>
        <w:t xml:space="preserve">la pérdida de un ser cercano y el proceso de ajuste posterior (con cambio de estatus y roles: de esposa a viuda).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Pena:</w:t>
      </w:r>
      <w:r>
        <w:t xml:space="preserve"> </w:t>
      </w:r>
      <w:r>
        <w:t xml:space="preserve">la respuesta</w:t>
      </w:r>
      <w:r>
        <w:t xml:space="preserve"> </w:t>
      </w:r>
      <w:r>
        <w:rPr>
          <w:b/>
          <w:bCs/>
        </w:rPr>
        <w:t xml:space="preserve">emocional</w:t>
      </w:r>
      <w:r>
        <w:t xml:space="preserve"> </w:t>
      </w:r>
      <w:r>
        <w:t xml:space="preserve">de las primeras fases.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Luto: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comportamiento</w:t>
      </w:r>
      <w:r>
        <w:t xml:space="preserve"> </w:t>
      </w:r>
      <w:r>
        <w:t xml:space="preserve">culturalmente aceptado del doliente y la comunidad (velorio, rituales).</w:t>
      </w:r>
    </w:p>
    <w:p>
      <w:pPr>
        <w:pStyle w:val="FirstParagraph"/>
      </w:pPr>
      <w:r>
        <w:rPr>
          <w:b/>
          <w:bCs/>
        </w:rPr>
        <w:t xml:space="preserve">Pena anticipatoria</w:t>
      </w:r>
      <w:r>
        <w:t xml:space="preserve"> </w:t>
      </w:r>
      <w:r>
        <w:t xml:space="preserve">(p. 492): el pesar que se siente mientras la persona</w:t>
      </w:r>
      <w:r>
        <w:t xml:space="preserve"> </w:t>
      </w:r>
      <w:r>
        <w:rPr>
          <w:b/>
          <w:bCs/>
        </w:rPr>
        <w:t xml:space="preserve">todavía vive</w:t>
      </w:r>
      <w:r>
        <w:t xml:space="preserve"> </w:t>
      </w:r>
      <w:r>
        <w:t xml:space="preserve">(por ejemplo, en una enfermedad larga). Puede ayudar, aunque no siempre mejora el ajuste posterior.</w:t>
      </w:r>
    </w:p>
    <w:p>
      <w:pPr>
        <w:pStyle w:val="BodyText"/>
      </w:pPr>
      <w:r>
        <w:rPr>
          <w:b/>
          <w:bCs/>
        </w:rPr>
        <w:t xml:space="preserve">El modelo clásico de tres fases</w:t>
      </w:r>
      <w:r>
        <w:t xml:space="preserve"> </w:t>
      </w:r>
      <w:r>
        <w:t xml:space="preserve">(pp. 492-493): (1)</w:t>
      </w:r>
      <w:r>
        <w:t xml:space="preserve"> </w:t>
      </w:r>
      <w:r>
        <w:rPr>
          <w:b/>
          <w:bCs/>
        </w:rPr>
        <w:t xml:space="preserve">conmoción e incredulidad</w:t>
      </w:r>
      <w:r>
        <w:t xml:space="preserve">; (2)</w:t>
      </w:r>
      <w:r>
        <w:t xml:space="preserve"> </w:t>
      </w:r>
      <w:r>
        <w:rPr>
          <w:b/>
          <w:bCs/>
        </w:rPr>
        <w:t xml:space="preserve">preocupación por la memoria</w:t>
      </w:r>
      <w:r>
        <w:t xml:space="preserve"> </w:t>
      </w:r>
      <w:r>
        <w:t xml:space="preserve">de la persona muerta (llanto, insomnio, sentir su presencia); (3)</w:t>
      </w:r>
      <w:r>
        <w:t xml:space="preserve"> </w:t>
      </w:r>
      <w:r>
        <w:rPr>
          <w:b/>
          <w:bCs/>
        </w:rPr>
        <w:t xml:space="preserve">resolución</w:t>
      </w:r>
      <w:r>
        <w:t xml:space="preserve">: se renueva el interés en la vida y los recuerdos traen cariño en lugar de dolor agudo.</w:t>
      </w:r>
    </w:p>
    <w:p>
      <w:pPr>
        <w:pStyle w:val="BodyText"/>
      </w:pPr>
      <w:r>
        <w:rPr>
          <w:b/>
          <w:bCs/>
        </w:rPr>
        <w:t xml:space="preserve">No hay un único patrón</w:t>
      </w:r>
      <w:r>
        <w:t xml:space="preserve"> </w:t>
      </w:r>
      <w:r>
        <w:t xml:space="preserve">(pp. 493-496):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Wortman y Silver</w:t>
      </w:r>
      <w:r>
        <w:t xml:space="preserve"> </w:t>
      </w:r>
      <w:r>
        <w:t xml:space="preserve">mostraron que varias creencias son mitos: que todos se deprimen, que quien no muestra aflicción tendrá problemas después, que hay que «trabajar» la pérdida y que el dolor termina pronto.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Estudio CLOC</w:t>
      </w:r>
      <w:r>
        <w:t xml:space="preserve"> </w:t>
      </w:r>
      <w:r>
        <w:t xml:space="preserve">(viudos mayores seguidos a los seis meses y a los cuatro años): el patrón más frecuente fue la</w:t>
      </w:r>
      <w:r>
        <w:t xml:space="preserve"> </w:t>
      </w:r>
      <w:r>
        <w:rPr>
          <w:b/>
          <w:bCs/>
        </w:rPr>
        <w:t xml:space="preserve">resiliencia (46 %)</w:t>
      </w:r>
      <w:r>
        <w:t xml:space="preserve">, una aflicción baja que disminuye con el tiempo; el duelo «clásico» fue raro (11 %); el 16 % tuvo duelo crónico. Por eso puede ser innecesario o dañino presionar a alguien para que «trabaje» su duelo.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Pérdida ambigua</w:t>
      </w:r>
      <w:r>
        <w:t xml:space="preserve"> </w:t>
      </w:r>
      <w:r>
        <w:t xml:space="preserve">(Boss): cuando la pérdida no está definida (un desaparecido sin cuerpo, o alguien presente pero psicológicamente ausente, como en el Alzheimer), la pena queda «congelada» (p. 494).</w:t>
      </w:r>
    </w:p>
    <w:p>
      <w:pPr>
        <w:pStyle w:val="FirstParagraph"/>
      </w:pPr>
      <w:r>
        <w:rPr>
          <w:b/>
          <w:bCs/>
        </w:rPr>
        <w:t xml:space="preserve">La viudez</w:t>
      </w:r>
      <w:r>
        <w:t xml:space="preserve"> </w:t>
      </w:r>
      <w:r>
        <w:t xml:space="preserve">(pp. 497-499): es uno de los eventos más estresantes; implica perder el rol de cónyuge, cambios sociales y económicos, y riesgos para la salud. Se ajustan mejor quienes se mantienen ocupados, toman nuevos roles y tienen</w:t>
      </w:r>
      <w:r>
        <w:t xml:space="preserve"> </w:t>
      </w:r>
      <w:r>
        <w:rPr>
          <w:b/>
          <w:bCs/>
        </w:rPr>
        <w:t xml:space="preserve">apoyo social</w:t>
      </w:r>
      <w:r>
        <w:t xml:space="preserve">. Más que la edad, importan las</w:t>
      </w:r>
      <w:r>
        <w:t xml:space="preserve"> </w:t>
      </w:r>
      <w:r>
        <w:rPr>
          <w:b/>
          <w:bCs/>
        </w:rPr>
        <w:t xml:space="preserve">habilidades de afrontamiento</w:t>
      </w:r>
      <w:r>
        <w:t xml:space="preserve">.</w:t>
      </w:r>
    </w:p>
    <w:p>
      <w:pPr>
        <w:pStyle w:val="RecuadroEsqueleto"/>
      </w:pPr>
      <w:r>
        <w:rPr>
          <w:b/>
          <w:bCs/>
        </w:rPr>
        <w:t xml:space="preserve">Esqueleto de la respuesta:</w:t>
      </w:r>
    </w:p>
    <w:p>
      <w:pPr>
        <w:pStyle w:val="RecuadroEsqueleto"/>
      </w:pPr>
      <w:r>
        <w:t xml:space="preserve">1. </w:t>
      </w:r>
      <w:r>
        <w:rPr>
          <w:b/>
          <w:bCs/>
        </w:rPr>
        <w:t xml:space="preserve">Tesis:</w:t>
      </w:r>
      <w:r>
        <w:t xml:space="preserve"> </w:t>
      </w:r>
      <w:r>
        <w:t xml:space="preserve">el duelo no sigue un único patrón.</w:t>
      </w:r>
    </w:p>
    <w:p>
      <w:pPr>
        <w:pStyle w:val="RecuadroEsqueleto"/>
      </w:pPr>
      <w:r>
        <w:t xml:space="preserve">2. </w:t>
      </w:r>
      <w:r>
        <w:rPr>
          <w:b/>
          <w:bCs/>
        </w:rPr>
        <w:t xml:space="preserve">Definiciones:</w:t>
      </w:r>
      <w:r>
        <w:t xml:space="preserve"> </w:t>
      </w:r>
      <w:r>
        <w:t xml:space="preserve">duelo, pena, luto (Papalia et al., 2009b, p. 487).</w:t>
      </w:r>
    </w:p>
    <w:p>
      <w:pPr>
        <w:pStyle w:val="RecuadroEsqueleto"/>
      </w:pPr>
      <w:r>
        <w:t xml:space="preserve">3. </w:t>
      </w:r>
      <w:r>
        <w:rPr>
          <w:b/>
          <w:bCs/>
        </w:rPr>
        <w:t xml:space="preserve">Modelo clásico:</w:t>
      </w:r>
      <w:r>
        <w:t xml:space="preserve"> </w:t>
      </w:r>
      <w:r>
        <w:t xml:space="preserve">conmoción, preocupación por la memoria, resolución (pp. 492-493).</w:t>
      </w:r>
    </w:p>
    <w:p>
      <w:pPr>
        <w:pStyle w:val="RecuadroEsqueleto"/>
      </w:pPr>
      <w:r>
        <w:t xml:space="preserve">4. </w:t>
      </w:r>
      <w:r>
        <w:rPr>
          <w:b/>
          <w:bCs/>
        </w:rPr>
        <w:t xml:space="preserve">Wortman y Silver:</w:t>
      </w:r>
      <w:r>
        <w:t xml:space="preserve"> </w:t>
      </w:r>
      <w:r>
        <w:t xml:space="preserve">mitos sobre el duelo (pp. 493-494).</w:t>
      </w:r>
    </w:p>
    <w:p>
      <w:pPr>
        <w:pStyle w:val="RecuadroEsqueleto"/>
      </w:pPr>
      <w:r>
        <w:t xml:space="preserve">5. </w:t>
      </w:r>
      <w:r>
        <w:rPr>
          <w:b/>
          <w:bCs/>
        </w:rPr>
        <w:t xml:space="preserve">CLOC:</w:t>
      </w:r>
      <w:r>
        <w:t xml:space="preserve"> </w:t>
      </w:r>
      <w:r>
        <w:t xml:space="preserve">resiliencia 46 %; duelo común 11 % (pp. 495-496).</w:t>
      </w:r>
    </w:p>
    <w:p>
      <w:pPr>
        <w:pStyle w:val="RecuadroEsqueleto"/>
      </w:pPr>
      <w:r>
        <w:t xml:space="preserve">6. </w:t>
      </w:r>
      <w:r>
        <w:rPr>
          <w:b/>
          <w:bCs/>
        </w:rPr>
        <w:t xml:space="preserve">Cierre:</w:t>
      </w:r>
      <w:r>
        <w:t xml:space="preserve"> </w:t>
      </w:r>
      <w:r>
        <w:t xml:space="preserve">no presionar a «trabajar» la pérdida; apoyo social (p. 496).</w:t>
      </w:r>
    </w:p>
    <w:p>
      <w:pPr>
        <w:pStyle w:val="RecuadroAtencion"/>
      </w:pPr>
      <w:r>
        <w:t xml:space="preserve">⚠</w:t>
      </w:r>
      <w:r>
        <w:t xml:space="preserve"> </w:t>
      </w:r>
      <w:r>
        <w:rPr>
          <w:b/>
          <w:bCs/>
        </w:rPr>
        <w:t xml:space="preserve">No confundir:</w:t>
      </w:r>
      <w:r>
        <w:t xml:space="preserve"> </w:t>
      </w:r>
      <w:r>
        <w:rPr>
          <w:i/>
          <w:iCs/>
        </w:rPr>
        <w:t xml:space="preserve">duelo</w:t>
      </w:r>
      <w:r>
        <w:t xml:space="preserve"> </w:t>
      </w:r>
      <w:r>
        <w:t xml:space="preserve">(pérdida y ajuste),</w:t>
      </w:r>
      <w:r>
        <w:t xml:space="preserve"> </w:t>
      </w:r>
      <w:r>
        <w:rPr>
          <w:i/>
          <w:iCs/>
        </w:rPr>
        <w:t xml:space="preserve">pena</w:t>
      </w:r>
      <w:r>
        <w:t xml:space="preserve"> </w:t>
      </w:r>
      <w:r>
        <w:t xml:space="preserve">(emoción) y</w:t>
      </w:r>
      <w:r>
        <w:t xml:space="preserve"> </w:t>
      </w:r>
      <w:r>
        <w:rPr>
          <w:i/>
          <w:iCs/>
        </w:rPr>
        <w:t xml:space="preserve">luto</w:t>
      </w:r>
      <w:r>
        <w:t xml:space="preserve"> </w:t>
      </w:r>
      <w:r>
        <w:t xml:space="preserve">(conducta cultural); y</w:t>
      </w:r>
      <w:r>
        <w:t xml:space="preserve"> </w:t>
      </w:r>
      <w:r>
        <w:rPr>
          <w:i/>
          <w:iCs/>
        </w:rPr>
        <w:t xml:space="preserve">resiliencia</w:t>
      </w:r>
      <w:r>
        <w:t xml:space="preserve"> </w:t>
      </w:r>
      <w:r>
        <w:t xml:space="preserve">(aflicción baja que disminuye) con «no haber hecho el duelo» (Papalia et al., 2009b, pp. 487, 496).</w:t>
      </w:r>
    </w:p>
    <w:p>
      <w:r>
        <w:pict>
          <v:rect style="width:0;height:1.5pt" o:hralign="center" o:hrstd="t" o:hr="t"/>
        </w:pict>
      </w:r>
    </w:p>
    <w:bookmarkEnd w:id="13"/>
    <w:bookmarkStart w:id="14" w:name="para-rendir-formato-del-parcial"/>
    <w:p>
      <w:pPr>
        <w:pStyle w:val="Heading2"/>
      </w:pPr>
      <w:r>
        <w:t xml:space="preserve">Para rendir (formato del parcial)</w:t>
      </w:r>
    </w:p>
    <w:p>
      <w:pPr>
        <w:pStyle w:val="FirstParagraph"/>
      </w:pPr>
      <w:r>
        <w:rPr>
          <w:b/>
          <w:bCs/>
        </w:rPr>
        <w:t xml:space="preserve">1) Opción múltiple.</w:t>
      </w:r>
      <w:r>
        <w:t xml:space="preserve"> </w:t>
      </w:r>
      <w:r>
        <w:t xml:space="preserve">En el estudio CLOC con viudos mayores, el patrón más frecuente fue: (a) el duelo común; (b) el duelo demorado; (c)</w:t>
      </w:r>
      <w:r>
        <w:t xml:space="preserve"> </w:t>
      </w:r>
      <w:r>
        <w:rPr>
          <w:b/>
          <w:bCs/>
        </w:rPr>
        <w:t xml:space="preserve">la resiliencia</w:t>
      </w:r>
      <w:r>
        <w:t xml:space="preserve">; (d) el duelo crónico. —</w:t>
      </w:r>
      <w:r>
        <w:t xml:space="preserve"> </w:t>
      </w:r>
      <w:r>
        <w:rPr>
          <w:i/>
          <w:iCs/>
        </w:rPr>
        <w:t xml:space="preserve">Respuesta: c</w:t>
      </w:r>
      <w:r>
        <w:t xml:space="preserve"> </w:t>
      </w:r>
      <w:r>
        <w:t xml:space="preserve">(46 %) (Papalia et al., 2009b, pp. 495-496).</w:t>
      </w:r>
    </w:p>
    <w:p>
      <w:pPr>
        <w:pStyle w:val="BodyText"/>
      </w:pPr>
      <w:r>
        <w:rPr>
          <w:b/>
          <w:bCs/>
        </w:rPr>
        <w:t xml:space="preserve">2) Verdadero o falso.</w:t>
      </w:r>
      <w:r>
        <w:t xml:space="preserve"> </w:t>
      </w:r>
      <w:r>
        <w:t xml:space="preserve">«Kübler-Ross demostró que todas las personas pasan por las cinco etapas en el mismo orden.»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No son verdaderas etapas: ni todos pasan por las cinco ni en ese orden (p. 487).</w:t>
      </w:r>
    </w:p>
    <w:p>
      <w:pPr>
        <w:pStyle w:val="BodyText"/>
      </w:pPr>
      <w:r>
        <w:rPr>
          <w:b/>
          <w:bCs/>
        </w:rPr>
        <w:t xml:space="preserve">3) Verdadero o falso.</w:t>
      </w:r>
      <w:r>
        <w:t xml:space="preserve"> </w:t>
      </w:r>
      <w:r>
        <w:t xml:space="preserve">«El luto es la respuesta emocional ante la pérdida.» —</w:t>
      </w:r>
      <w:r>
        <w:t xml:space="preserve"> </w:t>
      </w:r>
      <w:r>
        <w:rPr>
          <w:i/>
          <w:iCs/>
        </w:rPr>
        <w:t xml:space="preserve">Falso.</w:t>
      </w:r>
      <w:r>
        <w:t xml:space="preserve"> </w:t>
      </w:r>
      <w:r>
        <w:t xml:space="preserve">Esa es la pena; el luto es el comportamiento culturalmente aceptado (p. 487).</w:t>
      </w:r>
    </w:p>
    <w:p>
      <w:pPr>
        <w:pStyle w:val="BodyText"/>
      </w:pPr>
      <w:r>
        <w:rPr>
          <w:b/>
          <w:bCs/>
        </w:rPr>
        <w:t xml:space="preserve">4) Pregunta abierta (máx. 7 renglones).</w:t>
      </w:r>
      <w:r>
        <w:t xml:space="preserve"> </w:t>
      </w:r>
      <w:r>
        <w:rPr>
          <w:i/>
          <w:iCs/>
        </w:rPr>
        <w:t xml:space="preserve">¿Hay una forma «normal» de morir y de hacer el duelo?</w:t>
      </w:r>
    </w:p>
    <w:p>
      <w:pPr>
        <w:pStyle w:val="BodyText"/>
      </w:pPr>
      <w:r>
        <w:rPr>
          <w:i/>
          <w:iCs/>
        </w:rPr>
        <w:t xml:space="preserve">Respuesta modelo:</w:t>
      </w:r>
      <w:r>
        <w:t xml:space="preserve"> </w:t>
      </w:r>
      <w:r>
        <w:t xml:space="preserve">No hay una forma única. Kübler-Ross describió cinco reacciones ante la muerte cercana (negación, ira, negociación, depresión y aceptación), pero no son verdaderas etapas: no todos pasan por ellas ni en ese orden, y no deben usarse como criterio de un «buen morir». En el duelo, Wortman y Silver desmintieron mitos como que todos se deprimen o que hay que «trabajar» la pérdida, y el estudio CLOC halló que lo más frecuente en los viudos mayores es la resiliencia (46 %), mientras que el duelo clásico es raro (11 %) (Papalia et al., 2009b, pp. 487, 493-496).</w:t>
      </w:r>
    </w:p>
    <w:bookmarkEnd w:id="14"/>
    <w:bookmarkStart w:id="15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Papalia, D. E., Sterns, H. L., Feldman, R. D., &amp; Camp, C. J. (2009b). Lidiar con la muerte y las pérdidas. En</w:t>
      </w:r>
      <w:r>
        <w:t xml:space="preserve"> </w:t>
      </w:r>
      <w:r>
        <w:rPr>
          <w:i/>
          <w:iCs/>
        </w:rPr>
        <w:t xml:space="preserve">Desarrollo del adulto y vejez</w:t>
      </w:r>
      <w:r>
        <w:t xml:space="preserve"> </w:t>
      </w:r>
      <w:r>
        <w:t xml:space="preserve">(cap. 13, pp. 476-521). McGraw Hill Interamericana.</w:t>
      </w:r>
    </w:p>
    <w:bookmarkEnd w:id="15"/>
    <w:bookmarkEnd w:id="16"/>
    <w:sectPr>
      <w:headerReference r:id="rIdHdr1" w:type="default"/>
      <w:footerReference r:id="rIdFtr1" w:type="default"/>
      <w:pgSz w:h="16838" w:w="11906"/>
      <w:pgMar w:bottom="720" w:footer="397" w:gutter="0" w:header="397" w:left="720" w:right="1701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PieGuia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EncabezadoGuia"/>
    </w:pPr>
    <w:r>
      <w:t xml:space="preserve">C23 — Muerte y duelo · Versión de cursada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  <w:jc w:val="both"/>
    </w:pPr>
    <w:rPr>
      <w:rFonts w:ascii="Calibri" w:hAnsi="Calibri"/>
      <w:color w:val="14202B"/>
      <w:sz w:val="22"/>
    </w:rPr>
  </w:style>
  <w:style w:styleId="BodyText" w:type="paragraph">
    <w:name w:val="Body Text"/>
    <w:basedOn w:val="Normal"/>
    <w:link w:val="BodyTextChar"/>
    <w:pPr>
      <w:spacing w:after="120" w:before="180" w:line="276" w:lineRule="auto"/>
    </w:pPr>
    <w:qFormat/>
    <w:rPr>
      <w:rFonts w:ascii="Calibri" w:hAnsi="Calibri"/>
      <w:color w:val="14202B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after="120" w:line="276" w:lineRule="auto"/>
    </w:pPr>
    <w:rPr>
      <w:rFonts w:ascii="Calibri" w:hAnsi="Calibri"/>
      <w:color w:val="14202B"/>
      <w:sz w:val="22"/>
    </w:rPr>
  </w:style>
  <w:style w:customStyle="1" w:styleId="Compact" w:type="paragraph">
    <w:name w:val="Compact"/>
    <w:basedOn w:val="BodyText"/>
    <w:qFormat/>
    <w:pPr>
      <w:spacing w:after="120" w:before="36" w:line="276" w:lineRule="auto"/>
    </w:pPr>
    <w:rPr>
      <w:rFonts w:ascii="Calibri" w:hAnsi="Calibri"/>
      <w:color w:val="1420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200"/>
      <w:jc w:val="left"/>
    </w:pPr>
    <w:rPr>
      <w:rFonts w:ascii="Calibri" w:asciiTheme="majorHAnsi" w:cstheme="majorBidi" w:eastAsiaTheme="majorEastAsia" w:hAnsi="Calibri" w:hAnsiTheme="majorHAnsi"/>
      <w:b/>
      <w:bCs/>
      <w:color w:val="0F6B66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left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left"/>
    </w:pPr>
  </w:style>
  <w:style w:styleId="Date" w:type="paragraph">
    <w:name w:val="Date"/>
    <w:next w:val="BodyText"/>
    <w:qFormat/>
    <w:pPr>
      <w:keepNext/>
      <w:keepLines/>
      <w:jc w:val="left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left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jc w:val="left"/>
      <w:outlineLvl w:val="0"/>
    </w:pPr>
    <w:rPr>
      <w:rFonts w:ascii="Calibri" w:asciiTheme="majorHAnsi" w:cstheme="majorBidi" w:eastAsiaTheme="majorEastAsia" w:hAnsi="Calibri" w:hAnsiTheme="majorHAnsi"/>
      <w:b/>
      <w:bCs/>
      <w:color w:val="0F6B66"/>
      <w:sz w:val="36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jc w:val="left"/>
      <w:outlineLvl w:val="1"/>
    </w:pPr>
    <w:rPr>
      <w:rFonts w:ascii="Calibri" w:asciiTheme="majorHAnsi" w:cstheme="majorBidi" w:eastAsiaTheme="majorEastAsia" w:hAnsi="Calibri" w:hAnsiTheme="majorHAnsi"/>
      <w:b/>
      <w:bCs/>
      <w:color w:val="0F6B66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2"/>
    </w:pPr>
    <w:rPr>
      <w:rFonts w:ascii="Calibri" w:asciiTheme="majorHAnsi" w:cstheme="majorBidi" w:eastAsiaTheme="majorEastAsia" w:hAnsi="Calibri" w:hAnsiTheme="majorHAnsi"/>
      <w:b/>
      <w:bCs/>
      <w:color w:val="0F6B66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jc w:val="left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14202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jc w:val="left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C9D1D9" w:space="8" w:sz="12" w:val="single"/>
      </w:pBdr>
      <w:spacing w:after="100" w:before="100"/>
      <w:ind w:firstLine="0" w:left="454" w:right="480"/>
    </w:pPr>
    <w:rPr>
      <w:rFonts w:ascii="Calibri" w:hAnsi="Calibri"/>
      <w:color w:val="5D6B78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left"/>
    </w:pPr>
    <w:rPr>
      <w:i/>
      <w:color w:val="5D6B78"/>
      <w:sz w:val="18"/>
    </w:rPr>
  </w:style>
  <w:style w:customStyle="1" w:styleId="TableCaption" w:type="paragraph">
    <w:name w:val="Table Caption"/>
    <w:basedOn w:val="Caption"/>
    <w:pPr>
      <w:keepNext/>
      <w:jc w:val="left"/>
    </w:pPr>
    <w:rPr>
      <w:color w:val="5D6B78"/>
      <w:sz w:val="18"/>
    </w:rPr>
  </w:style>
  <w:style w:customStyle="1" w:styleId="ImageCaption" w:type="paragraph">
    <w:name w:val="Image Caption"/>
    <w:basedOn w:val="Caption"/>
    <w:pPr>
      <w:jc w:val="left"/>
    </w:pPr>
    <w:rPr>
      <w:color w:val="5D6B78"/>
      <w:sz w:val="18"/>
    </w:rPr>
  </w:style>
  <w:style w:customStyle="1" w:styleId="Figure" w:type="paragraph">
    <w:name w:val="Figure"/>
    <w:basedOn w:val="Normal"/>
    <w:pPr>
      <w:jc w:val="center"/>
    </w:pPr>
  </w:style>
  <w:style w:customStyle="1" w:styleId="CaptionedFigure" w:type="paragraph">
    <w:name w:val="Captioned Figure"/>
    <w:basedOn w:val="Figure"/>
    <w:pPr>
      <w:keepNext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jc w:val="left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Idea" w:type="paragraph">
    <w:name w:val="Recuadro Idea"/>
    <w:basedOn w:val="BodyText"/>
    <w:uiPriority w:val="10"/>
    <w:qFormat/>
    <w:pPr>
      <w:pBdr>
        <w:top w:color="EAF2FC" w:space="4" w:sz="4" w:val="single"/>
        <w:left w:color="2F6DB5" w:space="8" w:sz="24" w:val="single"/>
        <w:bottom w:color="EAF2FC" w:space="4" w:sz="4" w:val="single"/>
        <w:right w:color="EAF2FC" w:space="8" w:sz="4" w:val="single"/>
      </w:pBdr>
      <w:shd w:color="auto" w:fill="EAF2F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lave" w:type="paragraph">
    <w:name w:val="Recuadro Clave"/>
    <w:basedOn w:val="BodyText"/>
    <w:uiPriority w:val="10"/>
    <w:qFormat/>
    <w:pPr>
      <w:pBdr>
        <w:top w:color="FFF6DC" w:space="4" w:sz="4" w:val="single"/>
        <w:left w:color="D9A21B" w:space="8" w:sz="24" w:val="single"/>
        <w:bottom w:color="FFF6DC" w:space="4" w:sz="4" w:val="single"/>
        <w:right w:color="FFF6DC" w:space="8" w:sz="4" w:val="single"/>
      </w:pBdr>
      <w:shd w:color="auto" w:fill="FFF6D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Parcial" w:type="paragraph">
    <w:name w:val="Recuadro Parcial"/>
    <w:basedOn w:val="BodyText"/>
    <w:uiPriority w:val="10"/>
    <w:qFormat/>
    <w:pPr>
      <w:pBdr>
        <w:top w:color="E8F5EC" w:space="4" w:sz="4" w:val="single"/>
        <w:left w:color="2E8B57" w:space="8" w:sz="24" w:val="single"/>
        <w:bottom w:color="E8F5EC" w:space="4" w:sz="4" w:val="single"/>
        <w:right w:color="E8F5EC" w:space="8" w:sz="4" w:val="single"/>
      </w:pBdr>
      <w:shd w:color="auto" w:fill="E8F5EC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Esqueleto" w:type="paragraph">
    <w:name w:val="Recuadro Esqueleto"/>
    <w:basedOn w:val="BodyText"/>
    <w:uiPriority w:val="10"/>
    <w:qFormat/>
    <w:pPr>
      <w:pBdr>
        <w:top w:color="E3F2F1" w:space="4" w:sz="4" w:val="single"/>
        <w:left w:color="0F6B66" w:space="8" w:sz="24" w:val="single"/>
        <w:bottom w:color="E3F2F1" w:space="4" w:sz="4" w:val="single"/>
        <w:right w:color="E3F2F1" w:space="8" w:sz="4" w:val="single"/>
      </w:pBdr>
      <w:shd w:color="auto" w:fill="E3F2F1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Atencion" w:type="paragraph">
    <w:name w:val="Recuadro Atencion"/>
    <w:basedOn w:val="BodyText"/>
    <w:uiPriority w:val="10"/>
    <w:qFormat/>
    <w:pPr>
      <w:pBdr>
        <w:top w:color="FDECEA" w:space="4" w:sz="4" w:val="single"/>
        <w:left w:color="C0392B" w:space="8" w:sz="24" w:val="single"/>
        <w:bottom w:color="FDECEA" w:space="4" w:sz="4" w:val="single"/>
        <w:right w:color="FDECEA" w:space="8" w:sz="4" w:val="single"/>
      </w:pBdr>
      <w:shd w:color="auto" w:fill="FDECEA" w:val="clear"/>
      <w:spacing w:after="40" w:before="40" w:line="264" w:lineRule="auto"/>
      <w:ind w:left="227" w:right="227"/>
    </w:pPr>
    <w:rPr>
      <w:color w:val="14202B"/>
      <w:sz w:val="21"/>
      <w:szCs w:val="21"/>
    </w:rPr>
  </w:style>
  <w:style w:customStyle="1" w:styleId="RecuadroComplemento" w:type="paragraph">
    <w:name w:val="Recuadro Complemento"/>
    <w:basedOn w:val="BodyText"/>
    <w:uiPriority w:val="10"/>
    <w:qFormat/>
    <w:pPr>
      <w:pBdr>
        <w:top w:color="F2F4F6" w:space="4" w:sz="4" w:val="single"/>
        <w:left w:color="8A96A3" w:space="8" w:sz="24" w:val="single"/>
        <w:bottom w:color="F2F4F6" w:space="4" w:sz="4" w:val="single"/>
        <w:right w:color="F2F4F6" w:space="8" w:sz="4" w:val="single"/>
      </w:pBdr>
      <w:shd w:color="auto" w:fill="F2F4F6" w:val="clear"/>
      <w:spacing w:after="40" w:before="40" w:line="264" w:lineRule="auto"/>
      <w:ind w:left="227" w:right="227"/>
    </w:pPr>
    <w:rPr>
      <w:color w:val="3D4A57"/>
      <w:sz w:val="21"/>
      <w:szCs w:val="21"/>
    </w:rPr>
  </w:style>
  <w:style w:customStyle="1" w:styleId="RecuadroFuente" w:type="paragraph">
    <w:name w:val="Recuadro Fuente"/>
    <w:basedOn w:val="BodyText"/>
    <w:uiPriority w:val="10"/>
    <w:qFormat/>
    <w:pPr>
      <w:pBdr>
        <w:top w:color="F7F8FA" w:space="4" w:sz="4" w:val="single"/>
        <w:left w:color="C9D1D9" w:space="8" w:sz="24" w:val="single"/>
        <w:bottom w:color="F7F8FA" w:space="4" w:sz="4" w:val="single"/>
        <w:right w:color="F7F8FA" w:space="8" w:sz="4" w:val="single"/>
      </w:pBdr>
      <w:shd w:color="auto" w:fill="F7F8FA" w:val="clear"/>
      <w:spacing w:after="40" w:before="40" w:line="264" w:lineRule="auto"/>
      <w:ind w:left="227" w:right="227"/>
    </w:pPr>
    <w:rPr>
      <w:color w:val="3D4A57"/>
      <w:sz w:val="19"/>
      <w:szCs w:val="19"/>
    </w:rPr>
  </w:style>
  <w:style w:customStyle="1" w:styleId="EncabezadoGuia" w:type="paragraph">
    <w:name w:val="Encabezado guia"/>
    <w:basedOn w:val="Normal"/>
    <w:pPr>
      <w:pBdr>
        <w:bottom w:color="C9D1D9" w:space="2" w:sz="4" w:val="single"/>
      </w:pBdr>
      <w:jc w:val="right"/>
      <w:spacing w:after="0"/>
    </w:pPr>
    <w:rPr>
      <w:color w:val="5D6B78"/>
      <w:sz w:val="17"/>
    </w:rPr>
  </w:style>
  <w:style w:customStyle="1" w:styleId="PieGuia" w:type="paragraph">
    <w:name w:val="Pie guia"/>
    <w:basedOn w:val="Normal"/>
    <w:pPr>
      <w:jc w:val="center"/>
      <w:spacing w:after="0"/>
    </w:pPr>
    <w:rPr>
      <w:color w:val="5D6B78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Ftr1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2026-10-16T04:59:04Z</dcterms:created>
  <dcterms:modified xsi:type="dcterms:W3CDTF">2026-10-16T04:59:04Z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n_saltos">
    <vt:lpwstr>True</vt:lpwstr>
  </property>
</Properties>
</file>