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76" w:lineRule="auto"/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2"/>
          <w:szCs w:val="42"/>
          <w:rtl w:val="0"/>
        </w:rPr>
        <w:t xml:space="preserve">Ejercicio Entregable – Práctico Nº1</w:t>
        <w:tab/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una aplicación web similar al clásico Paint de Windows que provea de la siguiente funcionalidad: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9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Barra de herramientas con, al menos, lápiz (que pueda elegir color del lápiz) y goma de borrar, y su funcionalidad.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59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iniciar con un lienzo en blanco, o partir de una imagen que será cargada desde disco (Usar un diálogo para elegir la imagen)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Aplicar al menos cuatro filtros a la imagen actual, por ejemplo: negativo, brillo, binarización y sepia.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Aplicar al menos dos de los siguientes filtros a la imagen: Saturación, Detección de Bordes, Blur.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line="259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guardar en disco la imagen, o descartar la imagen y comenzar con un lienzo vacío.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Condiciones de Entrega: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9" w:lineRule="auto"/>
        <w:ind w:left="36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 de entrega: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Hasta el Martes 14 de Septiembre 23:59:59 hs. No se aceptan entregas a partir del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entrega se deberá realizar utilizando el branch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gh-pages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GitHub.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3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total debe haber 6 Filtros: 4 simples (punto 3) y 2 avanzados (punto 4)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160" w:line="259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web debe estar contenida en una página web acorde con la temática de la entrega.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código debe tener todos sus métodos comentados, dejando así en claro qué funcionalidad  se está implementando y cómo se desarrolla.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jU6UzVCYnipr5FCxZ3m3zXAV+w==">AMUW2mX/pGA2Zx47sTPpvmYcMBDHv7k8E6GvQsMy3m8cyZFty6Ts1qZ+GSUZivyht+NUVjRMWC5juugFf7dQeDbG/MIjSetXapN73KuYOn8unxk0p5CWIAxheATrixSV14l1zyW5rM78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