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45805740356445" w:lineRule="auto"/>
        <w:ind w:left="2821.2063598632812" w:right="2398.2824707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e75b6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75b6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Estrategias de Precios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75b6"/>
          <w:sz w:val="120.04800415039062"/>
          <w:szCs w:val="120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7511797" cy="438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1797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19467163085938" w:line="240" w:lineRule="auto"/>
        <w:ind w:left="0" w:right="1672.31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Seminario de Aplicación Profesional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388854980469" w:line="240" w:lineRule="auto"/>
        <w:ind w:left="0" w:right="2798.8024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Profesor: Jorge Scali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1.62872314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¿Qué es el Precio?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626220703125" w:line="208.2117462158203" w:lineRule="auto"/>
        <w:ind w:left="1324.9630737304688" w:right="2218.4228515625" w:firstLine="20.311279296875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El precio es lo que se da en un intercambio para adquirir un producto o  servicio.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0.806884765625" w:line="240" w:lineRule="auto"/>
        <w:ind w:left="1365.585479736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Ingreso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626220703125" w:line="208.2116174697876" w:lineRule="auto"/>
        <w:ind w:left="1354.6487426757812" w:right="1108.076171875" w:hanging="9.3743896484375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El precio que se cobra a los clientes multiplicado por el número de unidades  vendidas.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1.007080078125" w:line="240" w:lineRule="auto"/>
        <w:ind w:left="1361.41921997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Utilidad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62652587890625" w:line="240" w:lineRule="auto"/>
        <w:ind w:left="1345.274353027343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Los ingresos menos los gastos.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0853481292725" w:lineRule="auto"/>
        <w:ind w:left="3254.4583129882812" w:right="2318.1237792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Objetivos de la asignación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precios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4.4232177734375" w:line="598.8435745239258" w:lineRule="auto"/>
        <w:ind w:left="2584.7198486328125" w:right="3248.2397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Objetivos de la asignación de precios orientado a las utilidades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Objetivos de la asignación de precios orientados a las ventas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Objetivos de la asignación de precios de status quo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42.396240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ESTRATEGIA DE PRECIOS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.743652343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COSTOS CLIENTES COMPETENCIA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7587890625" w:line="234.96886253356934" w:lineRule="auto"/>
        <w:ind w:left="3671.1614990234375" w:right="3675.650634765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Costos pertinentes Sensibilidad al precio Comprensión del juego de la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increméntales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fijación de precios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20.2258300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Efectos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791259765625" w:line="240" w:lineRule="auto"/>
        <w:ind w:left="4820.00122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recuperables sustitutos percibidos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98876953125" w:line="240" w:lineRule="auto"/>
        <w:ind w:left="0" w:right="4917.1557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valor único Plan para la fijación 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695556640625" w:line="240" w:lineRule="auto"/>
        <w:ind w:left="0" w:right="4922.66967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coste de cambio de precios rentables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78515625" w:line="240" w:lineRule="auto"/>
        <w:ind w:left="0" w:right="7797.1508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comparación difícil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98876953125" w:line="240" w:lineRule="auto"/>
        <w:ind w:left="0" w:right="3937.2485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precio - calidad anticipar y controlar la 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689453125" w:line="240" w:lineRule="auto"/>
        <w:ind w:left="0" w:right="4859.530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del gasto competencia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98876953125" w:line="240" w:lineRule="auto"/>
        <w:ind w:left="0" w:right="2215.780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del beneficio final establecer políticas de fijación de precios 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79736328125" w:line="240" w:lineRule="auto"/>
        <w:ind w:left="0" w:right="3508.9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  <w:sectPr>
          <w:pgSz w:h="10800" w:w="19200"/>
          <w:pgMar w:bottom="0" w:top="520.80078125" w:left="0" w:right="700.799560546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del coste compartido compatibles con los precios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de equidad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9887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de inventario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173583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Estrategia Genérica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  <w:sectPr>
          <w:type w:val="continuous"/>
          <w:pgSz w:h="10800" w:w="19200"/>
          <w:pgMar w:bottom="0" w:top="520.80078125" w:left="8803.463745117188" w:right="3394.603271484375" w:header="0" w:footer="720"/>
          <w:cols w:equalWidth="0" w:num="2">
            <w:col w:space="0" w:w="3500.9664916992188"/>
            <w:col w:space="0" w:w="3500.966491699218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 Manejar una información competitiva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6.3726806640625" w:line="892.314033508300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Descremado Neutra Penetración Estrategia Especifica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Ciclo de 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1.6796875" w:line="289.104223251342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71040344238281"/>
          <w:szCs w:val="33.71040344238281"/>
          <w:u w:val="none"/>
          <w:shd w:fill="auto" w:val="clear"/>
          <w:vertAlign w:val="subscript"/>
          <w:rtl w:val="0"/>
        </w:rPr>
        <w:t xml:space="preserve">vida Mix de marketing Segmentación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Psicología y  precios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3916320800781" w:line="248.7010288238525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Fijación de precios: por identificación del comprador percepciones de la innovación por ubicación de la compra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1.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Ventaja 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99029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  <w:sectPr>
          <w:type w:val="continuous"/>
          <w:pgSz w:h="10800" w:w="19200"/>
          <w:pgMar w:bottom="0" w:top="520.80078125" w:left="3680.015869140625" w:right="2966.3623046875" w:header="0" w:footer="720"/>
          <w:cols w:equalWidth="0" w:num="2">
            <w:col w:space="0" w:w="6276.8109130859375"/>
            <w:col w:space="0" w:w="6276.8109130859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competitiva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852722167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para el crecimiento según la hora de compra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  <w:sectPr>
          <w:type w:val="continuous"/>
          <w:pgSz w:h="10800" w:w="19200"/>
          <w:pgMar w:bottom="0" w:top="520.80078125" w:left="4257.455139160156" w:right="5745.67138671875" w:header="0" w:footer="720"/>
          <w:cols w:equalWidth="0" w:num="2">
            <w:col w:space="0" w:w="4598.4368896484375"/>
            <w:col w:space="0" w:w="4598.4368896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influencias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74569702148438" w:line="248.23076248168945" w:lineRule="auto"/>
        <w:ind w:left="4464.4696044921875" w:right="6847.5341796875" w:firstLine="248.527526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6242065429688"/>
          <w:szCs w:val="20.226242065429688"/>
          <w:u w:val="none"/>
          <w:shd w:fill="auto" w:val="clear"/>
          <w:vertAlign w:val="baseline"/>
          <w:rtl w:val="0"/>
        </w:rPr>
        <w:t xml:space="preserve">en la madurez por cantidad de compra en la declinación por paquete de producto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Análisis de Precios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6.1456298828125" w:line="240" w:lineRule="auto"/>
        <w:ind w:left="1463.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- Costos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333740234375" w:line="240" w:lineRule="auto"/>
        <w:ind w:left="1463.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Clientes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5.8135986328125" w:line="240" w:lineRule="auto"/>
        <w:ind w:left="1463.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Competencia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4.26940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Costos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5.626220703125" w:line="199.92000102996826" w:lineRule="auto"/>
        <w:ind w:left="1493.6375427246094" w:right="13418.49853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Costos fijos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3385034</wp:posOffset>
            </wp:positionH>
            <wp:positionV relativeFrom="paragraph">
              <wp:posOffset>-885316</wp:posOffset>
            </wp:positionV>
            <wp:extent cx="6306312" cy="4171188"/>
            <wp:effectExtent b="0" l="0" r="0" t="0"/>
            <wp:wrapSquare wrapText="left" distB="19050" distT="19050" distL="19050" distR="1905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312" cy="4171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141845703125" w:line="288.2965850830078" w:lineRule="auto"/>
        <w:ind w:left="1493.6375427246094" w:right="12068.0310058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Costos variables • Demanda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4.26940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Clientes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8.6260986328125" w:line="199.92000102996826" w:lineRule="auto"/>
        <w:ind w:left="1471.26953125" w:right="8008.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Efectos de sensibilidad al precio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6421330</wp:posOffset>
            </wp:positionH>
            <wp:positionV relativeFrom="paragraph">
              <wp:posOffset>300736</wp:posOffset>
            </wp:positionV>
            <wp:extent cx="3934968" cy="3810000"/>
            <wp:effectExtent b="0" l="0" r="0" t="0"/>
            <wp:wrapSquare wrapText="left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381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0.233154296875" w:line="240" w:lineRule="auto"/>
        <w:ind w:left="2883.101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sustitutos percibidos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8.97125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valor único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7.8121948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coste de cambio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7.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comparación difícil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8.41033935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precio - calidad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4.8684692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del gasto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4.8684692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del beneficio final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4.8684692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del coste compartido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4.8684692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de equidad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4.8684692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8026123046875"/>
          <w:szCs w:val="44.08026123046875"/>
          <w:u w:val="none"/>
          <w:shd w:fill="auto" w:val="clear"/>
          <w:vertAlign w:val="baseline"/>
          <w:rtl w:val="0"/>
        </w:rPr>
        <w:t xml:space="preserve">de inventario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22.4578666687012" w:lineRule="auto"/>
        <w:ind w:left="1493.6375427246094" w:right="1440.001220703125" w:hanging="9.3681335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/>
          <w:pgMar w:bottom="0" w:top="520.80078125" w:left="0" w:right="700.799560546875" w:header="0" w:footer="720"/>
          <w:cols w:equalWidth="0" w:num="1">
            <w:col w:space="0" w:w="18499.2004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Competencia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Comparación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952999" cy="248716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999" cy="248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Estrategias Genéricas de Precios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3.42651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Descremado / selectiva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6073902</wp:posOffset>
            </wp:positionH>
            <wp:positionV relativeFrom="paragraph">
              <wp:posOffset>-1543303</wp:posOffset>
            </wp:positionV>
            <wp:extent cx="4762500" cy="2570988"/>
            <wp:effectExtent b="0" l="0" r="0" t="0"/>
            <wp:wrapSquare wrapText="left" distB="19050" distT="19050" distL="19050" distR="190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70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33837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- Neutra / estatus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3319091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/>
          <w:pgMar w:bottom="0" w:top="520.80078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Penetración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762500" cy="267919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9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16.5075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9200"/>
          <w:pgMar w:bottom="0" w:top="520.80078125" w:left="0" w:right="700.799560546875" w:header="0" w:footer="720"/>
          <w:cols w:equalWidth="0" w:num="1">
            <w:col w:space="0" w:w="18499.2004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Lista de Precios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¿Preguntas?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918823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6339840" cy="435102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351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Seminario de Aplicación Profesional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Profesor: Jorge Scali</w:t>
      </w:r>
    </w:p>
    <w:sectPr>
      <w:type w:val="continuous"/>
      <w:pgSz w:h="10800" w:w="19200"/>
      <w:pgMar w:bottom="0" w:top="520.80078125" w:left="1440" w:right="1440" w:header="0" w:footer="720"/>
      <w:cols w:equalWidth="0" w:num="1">
        <w:col w:space="0" w:w="16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