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6EC" w:rsidRDefault="007056EC" w:rsidP="007056EC">
      <w:pPr>
        <w:pStyle w:val="Ttulo"/>
        <w:jc w:val="center"/>
      </w:pPr>
      <w:r>
        <w:t>OSPF en Áreas Múltiples</w:t>
      </w:r>
    </w:p>
    <w:p w:rsidR="007056EC" w:rsidRDefault="007056EC"/>
    <w:p w:rsidR="00C32199" w:rsidRDefault="007056EC">
      <w:r>
        <w:rPr>
          <w:noProof/>
          <w:lang w:eastAsia="es-AR"/>
        </w:rPr>
        <w:drawing>
          <wp:inline distT="0" distB="0" distL="0" distR="0" wp14:anchorId="2F1C6B6B" wp14:editId="1EAF88BB">
            <wp:extent cx="5612130" cy="2171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EC" w:rsidRPr="007056EC" w:rsidRDefault="007056EC" w:rsidP="00705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Internal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(IR)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Es responsable de mantener la base de datos del área actualizada y optimizada de cada subred del área. Todos sus interfaces se encuentran en </w:t>
      </w:r>
      <w:proofErr w:type="gram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el mismo</w:t>
      </w:r>
      <w:proofErr w:type="gram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área. El otro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que funciona en </w:t>
      </w:r>
      <w:proofErr w:type="gram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un único</w:t>
      </w:r>
      <w:proofErr w:type="gram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área es el ASBR.</w:t>
      </w:r>
    </w:p>
    <w:p w:rsidR="007056EC" w:rsidRPr="007056EC" w:rsidRDefault="007056EC" w:rsidP="00705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Backbone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(BR)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OSPF requiere que todas las áreas estén conectadas al área 0 o de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backbone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Un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en </w:t>
      </w:r>
      <w:proofErr w:type="gram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este</w:t>
      </w:r>
      <w:proofErr w:type="gram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área es un BR. En un Área 0 también pueden estar IR, ABR y ASBR.</w:t>
      </w:r>
    </w:p>
    <w:p w:rsidR="007056EC" w:rsidRPr="007056EC" w:rsidRDefault="007056EC" w:rsidP="00705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Area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Border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(ABR)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Este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es el responsable de unir varias áreas. Mantiene una base de datos topológica de cada área. Realiza la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sumarización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del área y es el responsable de reenviar los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LSAs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entre áreas.</w:t>
      </w:r>
    </w:p>
    <w:p w:rsidR="007056EC" w:rsidRDefault="007056EC" w:rsidP="00705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Autonomous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System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Boundary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(ASBR)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 Es el responsable de conectar la red OSPF con una red externa con un protocolo EGP.</w:t>
      </w:r>
    </w:p>
    <w:p w:rsidR="007056EC" w:rsidRPr="007056EC" w:rsidRDefault="007056EC" w:rsidP="007056EC">
      <w:pPr>
        <w:pStyle w:val="Ttulo1"/>
        <w:rPr>
          <w:rFonts w:eastAsia="Times New Roman"/>
          <w:lang w:eastAsia="es-AR"/>
        </w:rPr>
      </w:pPr>
      <w:bookmarkStart w:id="0" w:name="SECTION00822100000000000000"/>
      <w:r w:rsidRPr="007056EC">
        <w:rPr>
          <w:rFonts w:eastAsia="Times New Roman"/>
          <w:lang w:eastAsia="es-AR"/>
        </w:rPr>
        <w:t>Link-</w:t>
      </w:r>
      <w:proofErr w:type="spellStart"/>
      <w:r w:rsidRPr="007056EC">
        <w:rPr>
          <w:rFonts w:eastAsia="Times New Roman"/>
          <w:lang w:eastAsia="es-AR"/>
        </w:rPr>
        <w:t>State</w:t>
      </w:r>
      <w:proofErr w:type="spellEnd"/>
      <w:r w:rsidRPr="007056EC">
        <w:rPr>
          <w:rFonts w:eastAsia="Times New Roman"/>
          <w:lang w:eastAsia="es-AR"/>
        </w:rPr>
        <w:t xml:space="preserve"> </w:t>
      </w:r>
      <w:proofErr w:type="spellStart"/>
      <w:r w:rsidRPr="007056EC">
        <w:rPr>
          <w:rFonts w:eastAsia="Times New Roman"/>
          <w:lang w:eastAsia="es-AR"/>
        </w:rPr>
        <w:t>Advertisements</w:t>
      </w:r>
      <w:proofErr w:type="spellEnd"/>
      <w:r w:rsidRPr="007056EC">
        <w:rPr>
          <w:rFonts w:eastAsia="Times New Roman"/>
          <w:lang w:eastAsia="es-AR"/>
        </w:rPr>
        <w:t xml:space="preserve"> (</w:t>
      </w:r>
      <w:proofErr w:type="spellStart"/>
      <w:r w:rsidRPr="007056EC">
        <w:rPr>
          <w:rFonts w:eastAsia="Times New Roman"/>
          <w:lang w:eastAsia="es-AR"/>
        </w:rPr>
        <w:t>LSAs</w:t>
      </w:r>
      <w:proofErr w:type="spellEnd"/>
      <w:r w:rsidRPr="007056EC">
        <w:rPr>
          <w:rFonts w:eastAsia="Times New Roman"/>
          <w:lang w:eastAsia="es-AR"/>
        </w:rPr>
        <w:t>)</w:t>
      </w:r>
      <w:bookmarkEnd w:id="0"/>
    </w:p>
    <w:p w:rsidR="007056EC" w:rsidRPr="007056EC" w:rsidRDefault="007056EC" w:rsidP="00705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Link LSA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LSA generado para cada área a la que el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router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pertenece. Este LSA da información de los enlaces dentro del área. Se inunda por el área. Es conocido como LSA de tipo 1.</w:t>
      </w:r>
    </w:p>
    <w:p w:rsidR="007056EC" w:rsidRPr="007056EC" w:rsidRDefault="007056EC" w:rsidP="00705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Network Link LSA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LSA generado por un DR y dirigido a los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routers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del área. También conocido como LSA de tipo 2.</w:t>
      </w:r>
    </w:p>
    <w:p w:rsidR="007056EC" w:rsidRPr="007056EC" w:rsidRDefault="007056EC" w:rsidP="00705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Network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Summary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Link LSA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LSA enviado entre áreas que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sumariza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las redes IP. Son generados por los ABR. También conocidos como LSA de tipo 3.</w:t>
      </w:r>
    </w:p>
    <w:p w:rsidR="007056EC" w:rsidRPr="007056EC" w:rsidRDefault="007056EC" w:rsidP="00705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lastRenderedPageBreak/>
        <w:t xml:space="preserve">AS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external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ASBR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Summary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Link LSA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 LSA enviado a un ASBR por un ABR. El LSA contiene la métrica del ABR al ASBR. También conocidos LSA de tipo 4.</w:t>
      </w:r>
    </w:p>
    <w:p w:rsidR="007056EC" w:rsidRPr="007056EC" w:rsidRDefault="007056EC" w:rsidP="00705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External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Link LSA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: LSA generado por el ASBR que es inundado por el AS. Cada LSA de este tipo describe la ruta a un destino fuera del AS. Las rutas por defecto del AS también son descritas como </w:t>
      </w:r>
      <w:proofErr w:type="spellStart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External</w:t>
      </w:r>
      <w:proofErr w:type="spellEnd"/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Link LSA. También conocidos como LSA de tipo 5.</w:t>
      </w:r>
    </w:p>
    <w:p w:rsidR="007056EC" w:rsidRPr="007056EC" w:rsidRDefault="007056EC" w:rsidP="00705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NSSA </w:t>
      </w:r>
      <w:proofErr w:type="spellStart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External</w:t>
      </w:r>
      <w:proofErr w:type="spellEnd"/>
      <w:r w:rsidRPr="007056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LSA</w:t>
      </w:r>
      <w:r w:rsidRPr="007056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: Son creados por los ASBR cuando residen en áreas NSSA. Similares a los LSA de tipo 5, excepto porque estos LSA se generan desde un área NSSA y no pueden ser propagados, entonces el ABR lo transformará en LSA de tipo 5.</w:t>
      </w:r>
    </w:p>
    <w:p w:rsidR="007056EC" w:rsidRDefault="007056EC" w:rsidP="007056EC">
      <w:pPr>
        <w:pStyle w:val="Ttulo1"/>
      </w:pPr>
      <w:bookmarkStart w:id="1" w:name="SECTION00823000000000000000"/>
      <w:r>
        <w:t>Tipos de Áreas OSPF</w:t>
      </w:r>
      <w:bookmarkEnd w:id="1"/>
    </w:p>
    <w:p w:rsidR="007056EC" w:rsidRDefault="007056EC" w:rsidP="007056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Área Estándar</w:t>
      </w:r>
      <w:r>
        <w:rPr>
          <w:color w:val="000000"/>
          <w:sz w:val="27"/>
          <w:szCs w:val="27"/>
        </w:rPr>
        <w:t xml:space="preserve">: Este tipo de área se conecta a la de </w:t>
      </w:r>
      <w:proofErr w:type="spellStart"/>
      <w:r>
        <w:rPr>
          <w:color w:val="000000"/>
          <w:sz w:val="27"/>
          <w:szCs w:val="27"/>
        </w:rPr>
        <w:t>backbone</w:t>
      </w:r>
      <w:proofErr w:type="spellEnd"/>
      <w:r>
        <w:rPr>
          <w:color w:val="000000"/>
          <w:sz w:val="27"/>
          <w:szCs w:val="27"/>
        </w:rPr>
        <w:t xml:space="preserve"> o Área 0. Todos los </w:t>
      </w:r>
      <w:proofErr w:type="spellStart"/>
      <w:r>
        <w:rPr>
          <w:color w:val="000000"/>
          <w:sz w:val="27"/>
          <w:szCs w:val="27"/>
        </w:rPr>
        <w:t>routers</w:t>
      </w:r>
      <w:proofErr w:type="spellEnd"/>
      <w:r>
        <w:rPr>
          <w:color w:val="000000"/>
          <w:sz w:val="27"/>
          <w:szCs w:val="27"/>
        </w:rPr>
        <w:t xml:space="preserve"> del área conocen los demás </w:t>
      </w:r>
      <w:proofErr w:type="spellStart"/>
      <w:r>
        <w:rPr>
          <w:color w:val="000000"/>
          <w:sz w:val="27"/>
          <w:szCs w:val="27"/>
        </w:rPr>
        <w:t>routers</w:t>
      </w:r>
      <w:proofErr w:type="spellEnd"/>
      <w:r>
        <w:rPr>
          <w:color w:val="000000"/>
          <w:sz w:val="27"/>
          <w:szCs w:val="27"/>
        </w:rPr>
        <w:t xml:space="preserve"> del área y tiene la misma base de datos topológica. Sin embargo cada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  <w:r>
        <w:rPr>
          <w:color w:val="000000"/>
          <w:sz w:val="27"/>
          <w:szCs w:val="27"/>
        </w:rPr>
        <w:t xml:space="preserve"> tiene su propia tabla de </w:t>
      </w:r>
      <w:proofErr w:type="spellStart"/>
      <w:r>
        <w:rPr>
          <w:color w:val="000000"/>
          <w:sz w:val="27"/>
          <w:szCs w:val="27"/>
        </w:rPr>
        <w:t>routing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Área </w:t>
      </w:r>
      <w:proofErr w:type="spellStart"/>
      <w:r>
        <w:rPr>
          <w:b/>
          <w:bCs/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 xml:space="preserve">: Este tipo de áreas no acepta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de tipo 5. Sólo existe una forma de ver fuera el AS es mediante una ruta por defecto. Suele ser una topología </w:t>
      </w:r>
      <w:proofErr w:type="spellStart"/>
      <w:r>
        <w:rPr>
          <w:color w:val="000000"/>
          <w:sz w:val="27"/>
          <w:szCs w:val="27"/>
        </w:rPr>
        <w:t>hub</w:t>
      </w:r>
      <w:proofErr w:type="spellEnd"/>
      <w:r>
        <w:rPr>
          <w:color w:val="000000"/>
          <w:sz w:val="27"/>
          <w:szCs w:val="27"/>
        </w:rPr>
        <w:t>-and-</w:t>
      </w:r>
      <w:proofErr w:type="spellStart"/>
      <w:r>
        <w:rPr>
          <w:color w:val="000000"/>
          <w:sz w:val="27"/>
          <w:szCs w:val="27"/>
        </w:rPr>
        <w:t>spoke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Área </w:t>
      </w:r>
      <w:proofErr w:type="spellStart"/>
      <w:r>
        <w:rPr>
          <w:b/>
          <w:bCs/>
          <w:color w:val="000000"/>
          <w:sz w:val="27"/>
          <w:szCs w:val="27"/>
        </w:rPr>
        <w:t>Totally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 xml:space="preserve">: Este tipo de áreas no acepta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de tipo 3, 4 y 5. La única forma de salir del área es mediante una ruta por defecto. Este tipo de área es muy útil para sitios remotos con pocas redes y conectividad limitada con el resto de la empresa. Esta es una solución propietaria de Cisco </w:t>
      </w:r>
      <w:proofErr w:type="spellStart"/>
      <w:r>
        <w:rPr>
          <w:color w:val="000000"/>
          <w:sz w:val="27"/>
          <w:szCs w:val="27"/>
        </w:rPr>
        <w:t>Systems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Área NSSA</w:t>
      </w:r>
      <w:r>
        <w:rPr>
          <w:color w:val="000000"/>
          <w:sz w:val="27"/>
          <w:szCs w:val="27"/>
        </w:rPr>
        <w:t xml:space="preserve">: Este tipo de áreas se suelen utilizar para conectar a un ISP o cuando se requiere una redistribución. No se permiten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de tipo 4 y 5. NSSA se ven como áreas </w:t>
      </w:r>
      <w:proofErr w:type="spellStart"/>
      <w:r>
        <w:rPr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 xml:space="preserve">, pero que pueden recibir rutas externas, pero que no pueden propagarlas hacía el área de </w:t>
      </w:r>
      <w:proofErr w:type="spellStart"/>
      <w:r>
        <w:rPr>
          <w:color w:val="000000"/>
          <w:sz w:val="27"/>
          <w:szCs w:val="27"/>
        </w:rPr>
        <w:t>backbone</w:t>
      </w:r>
      <w:proofErr w:type="spellEnd"/>
      <w:r>
        <w:rPr>
          <w:color w:val="000000"/>
          <w:sz w:val="27"/>
          <w:szCs w:val="27"/>
        </w:rPr>
        <w:t xml:space="preserve"> y por tanto al resto del dominio de OSPF. En estas áreas se crean los LSA de tipo 7 que son transformados a LSA de tipo 5 por el ABR del NSSA, de esta forma se puede propagar al resto del dominio OSPF. Las áreas NSSA se diseñaron como áreas </w:t>
      </w:r>
      <w:proofErr w:type="spellStart"/>
      <w:r>
        <w:rPr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speciales</w:t>
      </w:r>
      <w:proofErr w:type="spellEnd"/>
      <w:r>
        <w:rPr>
          <w:color w:val="000000"/>
          <w:sz w:val="27"/>
          <w:szCs w:val="27"/>
        </w:rPr>
        <w:t xml:space="preserve"> para aplicaciones como en un área con pocas áreas </w:t>
      </w:r>
      <w:proofErr w:type="spellStart"/>
      <w:r>
        <w:rPr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 xml:space="preserve"> pero </w:t>
      </w:r>
      <w:proofErr w:type="spellStart"/>
      <w:r>
        <w:rPr>
          <w:color w:val="000000"/>
          <w:sz w:val="27"/>
          <w:szCs w:val="27"/>
        </w:rPr>
        <w:t>inteconectadas</w:t>
      </w:r>
      <w:proofErr w:type="spellEnd"/>
      <w:r>
        <w:rPr>
          <w:color w:val="000000"/>
          <w:sz w:val="27"/>
          <w:szCs w:val="27"/>
        </w:rPr>
        <w:t xml:space="preserve"> con un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  <w:r>
        <w:rPr>
          <w:color w:val="000000"/>
          <w:sz w:val="27"/>
          <w:szCs w:val="27"/>
        </w:rPr>
        <w:t xml:space="preserve"> ejecutando RIP, o como área con su propia conexión a Internet.</w:t>
      </w:r>
    </w:p>
    <w:p w:rsidR="007056EC" w:rsidRDefault="007056EC" w:rsidP="007056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Área de </w:t>
      </w:r>
      <w:proofErr w:type="spellStart"/>
      <w:r>
        <w:rPr>
          <w:b/>
          <w:bCs/>
          <w:color w:val="000000"/>
          <w:sz w:val="27"/>
          <w:szCs w:val="27"/>
        </w:rPr>
        <w:t>Backbone</w:t>
      </w:r>
      <w:proofErr w:type="spellEnd"/>
      <w:r>
        <w:rPr>
          <w:color w:val="000000"/>
          <w:sz w:val="27"/>
          <w:szCs w:val="27"/>
        </w:rPr>
        <w:t>: Conocida como Área 0, interconecta todas las demás áreas. No puede propagar LSA de tipo 7, estos son traducidos a LSA de tipo 5 por el ABR.</w:t>
      </w:r>
    </w:p>
    <w:p w:rsid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056EC" w:rsidRDefault="007056EC" w:rsidP="007056EC">
      <w:pPr>
        <w:pStyle w:val="Ttulo1"/>
      </w:pPr>
      <w:bookmarkStart w:id="2" w:name="SECTION00824000000000000000"/>
      <w:r>
        <w:t xml:space="preserve">Restricciones de las Áreas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Stub</w:t>
      </w:r>
      <w:bookmarkEnd w:id="2"/>
      <w:proofErr w:type="spellEnd"/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Las áreas </w:t>
      </w:r>
      <w:proofErr w:type="spellStart"/>
      <w:r>
        <w:rPr>
          <w:color w:val="000000"/>
          <w:sz w:val="27"/>
          <w:szCs w:val="27"/>
        </w:rPr>
        <w:t>Totally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 xml:space="preserve"> tienen unas características que las diferencian del resto y que tenemos que tener muy en cuenta cuando trabajemos con ellas.</w:t>
      </w:r>
    </w:p>
    <w:p w:rsidR="007056EC" w:rsidRDefault="007056EC" w:rsidP="007056E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están permitidas las rutas externas.</w:t>
      </w:r>
    </w:p>
    <w:p w:rsidR="007056EC" w:rsidRDefault="007056EC" w:rsidP="007056E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están permitidos los virtual-links.</w:t>
      </w:r>
    </w:p>
    <w:p w:rsidR="007056EC" w:rsidRDefault="007056EC" w:rsidP="007056E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se permite la redistribución.</w:t>
      </w:r>
    </w:p>
    <w:p w:rsidR="007056EC" w:rsidRDefault="007056EC" w:rsidP="007056E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están permitidos los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  <w:r>
        <w:rPr>
          <w:color w:val="000000"/>
          <w:sz w:val="27"/>
          <w:szCs w:val="27"/>
        </w:rPr>
        <w:t xml:space="preserve"> ASBR.</w:t>
      </w:r>
    </w:p>
    <w:p w:rsidR="007056EC" w:rsidRDefault="007056EC" w:rsidP="007056E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Este tipo de área no puede ser área de </w:t>
      </w:r>
      <w:proofErr w:type="spellStart"/>
      <w:r>
        <w:rPr>
          <w:color w:val="000000"/>
          <w:sz w:val="27"/>
          <w:szCs w:val="27"/>
        </w:rPr>
        <w:t>backbone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Todos los </w:t>
      </w:r>
      <w:proofErr w:type="spellStart"/>
      <w:r>
        <w:rPr>
          <w:color w:val="000000"/>
          <w:sz w:val="27"/>
          <w:szCs w:val="27"/>
        </w:rPr>
        <w:t>routers</w:t>
      </w:r>
      <w:proofErr w:type="spellEnd"/>
      <w:r>
        <w:rPr>
          <w:color w:val="000000"/>
          <w:sz w:val="27"/>
          <w:szCs w:val="27"/>
        </w:rPr>
        <w:t xml:space="preserve"> están configurados como </w:t>
      </w:r>
      <w:proofErr w:type="spellStart"/>
      <w:r>
        <w:rPr>
          <w:color w:val="000000"/>
          <w:sz w:val="27"/>
          <w:szCs w:val="27"/>
        </w:rPr>
        <w:t>routers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pStyle w:val="Ttulo1"/>
        <w:rPr>
          <w:rFonts w:eastAsia="Times New Roman"/>
          <w:lang w:eastAsia="es-AR"/>
        </w:rPr>
      </w:pPr>
    </w:p>
    <w:p w:rsidR="007056EC" w:rsidRDefault="007056EC" w:rsidP="007056EC">
      <w:pPr>
        <w:pStyle w:val="Ttulo1"/>
      </w:pPr>
      <w:bookmarkStart w:id="3" w:name="SECTION00831000000000000000"/>
      <w:r>
        <w:t xml:space="preserve">Propagación de </w:t>
      </w:r>
      <w:proofErr w:type="spellStart"/>
      <w:r>
        <w:t>LSAs</w:t>
      </w:r>
      <w:proofErr w:type="spellEnd"/>
      <w:r>
        <w:t xml:space="preserve"> por los ABR y los ASBR</w:t>
      </w:r>
      <w:bookmarkEnd w:id="3"/>
    </w:p>
    <w:p w:rsidR="007056EC" w:rsidRPr="007056EC" w:rsidRDefault="007056EC" w:rsidP="007056EC"/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Un ABR genera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sumarizadas</w:t>
      </w:r>
      <w:proofErr w:type="spellEnd"/>
      <w:r>
        <w:rPr>
          <w:color w:val="000000"/>
          <w:sz w:val="27"/>
          <w:szCs w:val="27"/>
        </w:rPr>
        <w:t xml:space="preserve"> y las inunda por el área de </w:t>
      </w:r>
      <w:proofErr w:type="spellStart"/>
      <w:r>
        <w:rPr>
          <w:color w:val="000000"/>
          <w:sz w:val="27"/>
          <w:szCs w:val="27"/>
        </w:rPr>
        <w:t>backbone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rutas generadas internamente son de Tipo 1 y 2.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rutas inyectadas son de Tipo 3.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Las rutas de Tipo 3 </w:t>
      </w:r>
      <w:proofErr w:type="spellStart"/>
      <w:r>
        <w:rPr>
          <w:color w:val="000000"/>
          <w:sz w:val="27"/>
          <w:szCs w:val="27"/>
        </w:rPr>
        <w:t>ó</w:t>
      </w:r>
      <w:proofErr w:type="spellEnd"/>
      <w:r>
        <w:rPr>
          <w:color w:val="000000"/>
          <w:sz w:val="27"/>
          <w:szCs w:val="27"/>
        </w:rPr>
        <w:t xml:space="preserve"> 4 son recibidas desde el área 0 y reenviadas al área por el ABR.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Ciertas condiciones tienen que existir antes de que los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sean inundados por los interfaces.</w:t>
      </w:r>
    </w:p>
    <w:p w:rsidR="007056EC" w:rsidRDefault="007056EC" w:rsidP="007056EC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LSA no se haya recibido por ese interfaz.</w:t>
      </w:r>
    </w:p>
    <w:p w:rsidR="007056EC" w:rsidRDefault="007056EC" w:rsidP="007056EC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interfaz esté en estado </w:t>
      </w:r>
      <w:proofErr w:type="spellStart"/>
      <w:r>
        <w:rPr>
          <w:color w:val="000000"/>
          <w:sz w:val="27"/>
          <w:szCs w:val="27"/>
        </w:rPr>
        <w:t>exchange</w:t>
      </w:r>
      <w:proofErr w:type="spellEnd"/>
      <w:r>
        <w:rPr>
          <w:color w:val="000000"/>
          <w:sz w:val="27"/>
          <w:szCs w:val="27"/>
        </w:rPr>
        <w:t xml:space="preserve"> o full </w:t>
      </w:r>
      <w:proofErr w:type="spellStart"/>
      <w:r>
        <w:rPr>
          <w:color w:val="000000"/>
          <w:sz w:val="27"/>
          <w:szCs w:val="27"/>
        </w:rPr>
        <w:t>adjacency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interfaz no esté conectado a un área </w:t>
      </w:r>
      <w:proofErr w:type="spellStart"/>
      <w:r>
        <w:rPr>
          <w:color w:val="000000"/>
          <w:sz w:val="27"/>
          <w:szCs w:val="27"/>
        </w:rPr>
        <w:t>Stub</w:t>
      </w:r>
      <w:proofErr w:type="spellEnd"/>
      <w:r>
        <w:rPr>
          <w:color w:val="000000"/>
          <w:sz w:val="27"/>
          <w:szCs w:val="27"/>
        </w:rPr>
        <w:t>. (LSA Tipo 5 no se propagarán).</w:t>
      </w:r>
    </w:p>
    <w:p w:rsidR="007056EC" w:rsidRDefault="007056EC" w:rsidP="007056EC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interfaz no esté conectado </w:t>
      </w:r>
      <w:proofErr w:type="spellStart"/>
      <w:r>
        <w:rPr>
          <w:color w:val="000000"/>
          <w:sz w:val="27"/>
          <w:szCs w:val="27"/>
        </w:rPr>
        <w:t>aun</w:t>
      </w:r>
      <w:proofErr w:type="spellEnd"/>
      <w:r>
        <w:rPr>
          <w:color w:val="000000"/>
          <w:sz w:val="27"/>
          <w:szCs w:val="27"/>
        </w:rPr>
        <w:t xml:space="preserve"> área </w:t>
      </w:r>
      <w:proofErr w:type="spellStart"/>
      <w:r>
        <w:rPr>
          <w:color w:val="000000"/>
          <w:sz w:val="27"/>
          <w:szCs w:val="27"/>
        </w:rPr>
        <w:t>totally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stubby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Tipo 3,4 </w:t>
      </w:r>
      <w:proofErr w:type="spellStart"/>
      <w:r>
        <w:rPr>
          <w:color w:val="000000"/>
          <w:sz w:val="27"/>
          <w:szCs w:val="27"/>
        </w:rPr>
        <w:t>ó</w:t>
      </w:r>
      <w:proofErr w:type="spellEnd"/>
      <w:r>
        <w:rPr>
          <w:color w:val="000000"/>
          <w:sz w:val="27"/>
          <w:szCs w:val="27"/>
        </w:rPr>
        <w:t xml:space="preserve"> 5 no se propagarán).</w:t>
      </w:r>
    </w:p>
    <w:p w:rsid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056EC" w:rsidRDefault="007056EC" w:rsidP="007056EC">
      <w:pPr>
        <w:pStyle w:val="Ttulo1"/>
      </w:pPr>
      <w:bookmarkStart w:id="4" w:name="SECTION00833000000000000000"/>
      <w:r>
        <w:t xml:space="preserve">Procesamiento de </w:t>
      </w:r>
      <w:proofErr w:type="spellStart"/>
      <w:r>
        <w:t>LSAs</w:t>
      </w:r>
      <w:bookmarkEnd w:id="4"/>
      <w:proofErr w:type="spellEnd"/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Hay que recordar que cuando el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  <w:r>
        <w:rPr>
          <w:color w:val="000000"/>
          <w:sz w:val="27"/>
          <w:szCs w:val="27"/>
        </w:rPr>
        <w:t xml:space="preserve"> recibe un LSA construye la base de datos topológica, entonces ejecuta el algoritmo de </w:t>
      </w:r>
      <w:proofErr w:type="spellStart"/>
      <w:r>
        <w:rPr>
          <w:color w:val="000000"/>
          <w:sz w:val="27"/>
          <w:szCs w:val="27"/>
        </w:rPr>
        <w:t>Dijkstra</w:t>
      </w:r>
      <w:proofErr w:type="spellEnd"/>
      <w:r>
        <w:rPr>
          <w:color w:val="000000"/>
          <w:sz w:val="27"/>
          <w:szCs w:val="27"/>
        </w:rPr>
        <w:t xml:space="preserve">, obtiene el árbol SPF y genera la tabla de </w:t>
      </w:r>
      <w:proofErr w:type="spellStart"/>
      <w:r>
        <w:rPr>
          <w:color w:val="000000"/>
          <w:sz w:val="27"/>
          <w:szCs w:val="27"/>
        </w:rPr>
        <w:t>routing</w:t>
      </w:r>
      <w:proofErr w:type="spellEnd"/>
      <w:r>
        <w:rPr>
          <w:color w:val="000000"/>
          <w:sz w:val="27"/>
          <w:szCs w:val="27"/>
        </w:rPr>
        <w:t>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Los diferentes LSA tienen pesos diferentes en el proceso de selección. Es preferible utilizar una ruta interna a una remota, además de esta forma nos ahorramos la posibilidad de crear bucles innecesarios en la red.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  <w:r>
        <w:rPr>
          <w:color w:val="000000"/>
          <w:sz w:val="27"/>
          <w:szCs w:val="27"/>
        </w:rPr>
        <w:t xml:space="preserve"> va a procesar los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según este orden:</w:t>
      </w:r>
    </w:p>
    <w:p w:rsidR="007056EC" w:rsidRDefault="007056EC" w:rsidP="007056EC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internos (Tipos 1 y 2)</w:t>
      </w:r>
    </w:p>
    <w:p w:rsidR="007056EC" w:rsidRDefault="007056EC" w:rsidP="007056EC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del AS (Tipos 3 y 4), si existe una ruta más cercana utilizaremos los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de tipo 1 y 2.</w:t>
      </w:r>
    </w:p>
    <w:p w:rsidR="007056EC" w:rsidRDefault="007056EC" w:rsidP="007056EC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externos de Tipo 7.</w:t>
      </w:r>
    </w:p>
    <w:p w:rsidR="007056EC" w:rsidRDefault="007056EC" w:rsidP="007056EC">
      <w:pPr>
        <w:pStyle w:val="Ttulo1"/>
      </w:pPr>
      <w:bookmarkStart w:id="5" w:name="SECTION00837000000000000000"/>
      <w:r>
        <w:t>Planificando la Capacidad en OSPF</w:t>
      </w:r>
      <w:bookmarkEnd w:id="5"/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recomendaciones ``ideales'' de Cisco son:</w:t>
      </w:r>
    </w:p>
    <w:p w:rsidR="007056EC" w:rsidRDefault="007056EC" w:rsidP="007056EC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50 </w:t>
      </w:r>
      <w:proofErr w:type="spellStart"/>
      <w:r>
        <w:rPr>
          <w:color w:val="000000"/>
          <w:sz w:val="27"/>
          <w:szCs w:val="27"/>
        </w:rPr>
        <w:t>Routers</w:t>
      </w:r>
      <w:proofErr w:type="spellEnd"/>
      <w:r>
        <w:rPr>
          <w:color w:val="000000"/>
          <w:sz w:val="27"/>
          <w:szCs w:val="27"/>
        </w:rPr>
        <w:t xml:space="preserve"> por Área</w:t>
      </w:r>
    </w:p>
    <w:p w:rsidR="007056EC" w:rsidRDefault="007056EC" w:rsidP="007056EC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60 Vecinos por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</w:p>
    <w:p w:rsidR="007056EC" w:rsidRDefault="007056EC" w:rsidP="007056EC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Áreas por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</w:p>
    <w:p w:rsidR="007056EC" w:rsidRDefault="007056EC" w:rsidP="007056EC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Un </w:t>
      </w:r>
      <w:proofErr w:type="spellStart"/>
      <w:r>
        <w:rPr>
          <w:color w:val="000000"/>
          <w:sz w:val="27"/>
          <w:szCs w:val="27"/>
        </w:rPr>
        <w:t>router</w:t>
      </w:r>
      <w:proofErr w:type="spellEnd"/>
      <w:r>
        <w:rPr>
          <w:color w:val="000000"/>
          <w:sz w:val="27"/>
          <w:szCs w:val="27"/>
        </w:rPr>
        <w:t xml:space="preserve"> no debe ser DR ni BDR para más de un área.</w:t>
      </w:r>
    </w:p>
    <w:p w:rsidR="007056EC" w:rsidRDefault="007056EC" w:rsidP="0053017E">
      <w:pPr>
        <w:pStyle w:val="Ttulo1"/>
      </w:pPr>
      <w:bookmarkStart w:id="6" w:name="SECTION00838000000000000000"/>
      <w:proofErr w:type="spellStart"/>
      <w:r>
        <w:t>Sumarización</w:t>
      </w:r>
      <w:bookmarkEnd w:id="6"/>
      <w:proofErr w:type="spellEnd"/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Uno de los puntos fuertes de OSPF es su escalabilidad.</w:t>
      </w:r>
    </w:p>
    <w:p w:rsidR="007056EC" w:rsidRDefault="007056EC" w:rsidP="007056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 OSPF disponemos de dos tipos de </w:t>
      </w:r>
      <w:proofErr w:type="spellStart"/>
      <w:r>
        <w:rPr>
          <w:color w:val="000000"/>
          <w:sz w:val="27"/>
          <w:szCs w:val="27"/>
        </w:rPr>
        <w:t>sumarización</w:t>
      </w:r>
      <w:proofErr w:type="spellEnd"/>
      <w:r>
        <w:rPr>
          <w:color w:val="000000"/>
          <w:sz w:val="27"/>
          <w:szCs w:val="27"/>
        </w:rPr>
        <w:t>:</w:t>
      </w:r>
    </w:p>
    <w:p w:rsidR="007056EC" w:rsidRDefault="007056EC" w:rsidP="007056EC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Sumarización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Interárea</w:t>
      </w:r>
      <w:proofErr w:type="spellEnd"/>
      <w:r>
        <w:rPr>
          <w:color w:val="000000"/>
          <w:sz w:val="27"/>
          <w:szCs w:val="27"/>
        </w:rPr>
        <w:t xml:space="preserve">: La proporciona el ABR y crea </w:t>
      </w:r>
      <w:proofErr w:type="spellStart"/>
      <w:r>
        <w:rPr>
          <w:color w:val="000000"/>
          <w:sz w:val="27"/>
          <w:szCs w:val="27"/>
        </w:rPr>
        <w:t>LSAs</w:t>
      </w:r>
      <w:proofErr w:type="spellEnd"/>
      <w:r>
        <w:rPr>
          <w:color w:val="000000"/>
          <w:sz w:val="27"/>
          <w:szCs w:val="27"/>
        </w:rPr>
        <w:t xml:space="preserve"> de tipo 3 y tipo 4.</w:t>
      </w:r>
    </w:p>
    <w:p w:rsidR="007056EC" w:rsidRDefault="007056EC" w:rsidP="007056EC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Sumarización</w:t>
      </w:r>
      <w:proofErr w:type="spellEnd"/>
      <w:r>
        <w:rPr>
          <w:color w:val="000000"/>
          <w:sz w:val="27"/>
          <w:szCs w:val="27"/>
        </w:rPr>
        <w:t xml:space="preserve"> Externa: La proporciona el ASBR y crea LSA de tipo 5.</w:t>
      </w:r>
    </w:p>
    <w:p w:rsidR="007056EC" w:rsidRDefault="007056EC" w:rsidP="007056E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Por supuesto ambas </w:t>
      </w:r>
      <w:proofErr w:type="spellStart"/>
      <w:r>
        <w:rPr>
          <w:color w:val="000000"/>
          <w:sz w:val="27"/>
          <w:szCs w:val="27"/>
        </w:rPr>
        <w:t>sumarizaciones</w:t>
      </w:r>
      <w:proofErr w:type="spellEnd"/>
      <w:r>
        <w:rPr>
          <w:color w:val="000000"/>
          <w:sz w:val="27"/>
          <w:szCs w:val="27"/>
        </w:rPr>
        <w:t xml:space="preserve"> pueden suceder si se ha realizado un esquema de direccionamiento correcto.</w:t>
      </w:r>
    </w:p>
    <w:p w:rsidR="007056EC" w:rsidRDefault="007056EC" w:rsidP="007056EC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>
        <w:rPr>
          <w:noProof/>
          <w:lang w:eastAsia="es-AR"/>
        </w:rPr>
        <w:drawing>
          <wp:inline distT="0" distB="0" distL="0" distR="0" wp14:anchorId="65223203" wp14:editId="48B82731">
            <wp:extent cx="5978054" cy="331640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349" cy="33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056EC" w:rsidRPr="007056EC" w:rsidRDefault="007056EC" w:rsidP="00705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7056EC" w:rsidRDefault="007056EC"/>
    <w:sectPr w:rsidR="00705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6B"/>
    <w:multiLevelType w:val="multilevel"/>
    <w:tmpl w:val="F55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D3742"/>
    <w:multiLevelType w:val="multilevel"/>
    <w:tmpl w:val="3B9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929D4"/>
    <w:multiLevelType w:val="multilevel"/>
    <w:tmpl w:val="A58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55034"/>
    <w:multiLevelType w:val="multilevel"/>
    <w:tmpl w:val="4B70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326F0"/>
    <w:multiLevelType w:val="multilevel"/>
    <w:tmpl w:val="045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16F07"/>
    <w:multiLevelType w:val="multilevel"/>
    <w:tmpl w:val="66E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F22AF"/>
    <w:multiLevelType w:val="multilevel"/>
    <w:tmpl w:val="7D6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F0851"/>
    <w:multiLevelType w:val="multilevel"/>
    <w:tmpl w:val="65E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EC"/>
    <w:rsid w:val="0053017E"/>
    <w:rsid w:val="007056EC"/>
    <w:rsid w:val="00C3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05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6E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056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05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5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05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05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6E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056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05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5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05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DB605-73BC-4B49-8E3C-4CC5B88E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Figueira</dc:creator>
  <cp:lastModifiedBy>Hernan Figueira</cp:lastModifiedBy>
  <cp:revision>1</cp:revision>
  <dcterms:created xsi:type="dcterms:W3CDTF">2014-11-05T19:35:00Z</dcterms:created>
  <dcterms:modified xsi:type="dcterms:W3CDTF">2014-11-05T19:46:00Z</dcterms:modified>
</cp:coreProperties>
</file>