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2"/>
        <w:numPr>
          <w:ilvl w:val="0"/>
          <w:numId w:val="3"/>
        </w:numPr>
      </w:pPr>
      <w:r>
        <w:t xml:space="preserve">畫面設計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0"/>
        <w:gridCol w:w="10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欄位定義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查詢 </w:t>
            </w:r>
          </w:p>
        </w:tc>
        <w:tc>
          <w:p>
            <w:r>
              <w:t xml:space="preserve">點擊後顯示查詢結果 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清除查詢 </w:t>
            </w:r>
          </w:p>
        </w:tc>
        <w:tc>
          <w:p>
            <w:r>
              <w:t xml:space="preserve">點擊後清除查詢結果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新增特店 </w:t>
            </w:r>
          </w:p>
        </w:tc>
        <w:tc>
          <w:p>
            <w:r>
              <w:t xml:space="preserve">點擊後開啟新增手續費畫面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3"/>
        <w:numPr>
          <w:ilvl w:val="1"/>
          <w:numId w:val="3"/>
        </w:numPr>
      </w:pPr>
      <w:r>
        <w:t xml:space="preserve">查詢結果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明細</w:t>
            </w:r>
          </w:p>
        </w:tc>
        <w:tc>
          <w:p>
            <w:r>
              <w:t xml:space="preserve">點擊後開啟手續費明細畫面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修改</w:t>
            </w:r>
          </w:p>
        </w:tc>
        <w:tc>
          <w:p>
            <w:r>
              <w:t xml:space="preserve">點擊後開啟手續費修改畫面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註銷</w:t>
            </w:r>
          </w:p>
        </w:tc>
        <w:tc>
          <w:p>
            <w:r>
              <w:t xml:space="preserve">點擊後開啟手續費註銷畫面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0"/>
          <w:numId w:val="3"/>
        </w:numPr>
      </w:pPr>
      <w:r>
        <w:t xml:space="preserve">邏輯描述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3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2"/>
        <w:numPr>
          <w:ilvl w:val="0"/>
          <w:numId w:val="3"/>
        </w:numPr>
      </w:pPr>
      <w:r>
        <w:t xml:space="preserve">Service整理</w:t>
      </w:r>
    </w:p>
    <w:p>
      <w:pPr>
        <w:pStyle w:val="Heading3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1"/>
          <w:numId w:val="3"/>
        </w:numPr>
      </w:pPr>
      <w:r>
        <w:t xml:space="preserve">查詢一筆手續費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erjs-apbxnq6jobkzw9re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2021-11-17T03:12:21.225Z</dcterms:created>
  <dcterms:modified xsi:type="dcterms:W3CDTF">2021-11-17T03:12:21.225Z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