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C3523" w14:textId="0020263D" w:rsidR="00B63A85" w:rsidRDefault="00097384">
      <w:pPr>
        <w:ind w:left="3226"/>
        <w:rPr>
          <w:rFonts w:ascii="Times New Roman" w:hAnsi="Times New Roman"/>
          <w:sz w:val="20"/>
        </w:rPr>
      </w:pPr>
      <w:r>
        <w:rPr>
          <w:noProof/>
        </w:rPr>
        <w:drawing>
          <wp:inline distT="0" distB="0" distL="0" distR="0" wp14:anchorId="2DFB465C" wp14:editId="1BC6F8D6">
            <wp:extent cx="1754505" cy="8985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10"/>
                    <a:stretch>
                      <a:fillRect/>
                    </a:stretch>
                  </pic:blipFill>
                  <pic:spPr bwMode="auto">
                    <a:xfrm>
                      <a:off x="0" y="0"/>
                      <a:ext cx="1754505" cy="898525"/>
                    </a:xfrm>
                    <a:prstGeom prst="rect">
                      <a:avLst/>
                    </a:prstGeom>
                  </pic:spPr>
                </pic:pic>
              </a:graphicData>
            </a:graphic>
          </wp:inline>
        </w:drawing>
      </w:r>
    </w:p>
    <w:p w14:paraId="202F689E" w14:textId="77777777" w:rsidR="00B63A85" w:rsidRDefault="00C0062E">
      <w:pPr>
        <w:spacing w:before="236" w:line="302" w:lineRule="exact"/>
        <w:ind w:left="948" w:right="799"/>
        <w:jc w:val="center"/>
        <w:rPr>
          <w:sz w:val="24"/>
          <w:lang w:val="en-US"/>
        </w:rPr>
      </w:pPr>
      <w:r>
        <w:rPr>
          <w:w w:val="120"/>
          <w:sz w:val="24"/>
          <w:lang w:val="en-US"/>
        </w:rPr>
        <w:t>Ford</w:t>
      </w:r>
      <w:r>
        <w:rPr>
          <w:spacing w:val="15"/>
          <w:w w:val="120"/>
          <w:sz w:val="24"/>
          <w:lang w:val="en-US"/>
        </w:rPr>
        <w:t xml:space="preserve"> </w:t>
      </w:r>
      <w:r>
        <w:rPr>
          <w:spacing w:val="-2"/>
          <w:w w:val="120"/>
          <w:sz w:val="24"/>
          <w:lang w:val="en-US"/>
        </w:rPr>
        <w:t>Argentina</w:t>
      </w:r>
    </w:p>
    <w:p w14:paraId="55CD3443" w14:textId="77777777" w:rsidR="00B63A85" w:rsidRDefault="00C0062E">
      <w:pPr>
        <w:spacing w:line="248" w:lineRule="atLeast"/>
        <w:ind w:left="171" w:right="24"/>
        <w:jc w:val="center"/>
        <w:rPr>
          <w:lang w:val="en-US"/>
        </w:rPr>
      </w:pPr>
      <w:r>
        <w:rPr>
          <w:spacing w:val="-2"/>
          <w:sz w:val="20"/>
          <w:szCs w:val="20"/>
          <w:lang w:val="en-US"/>
        </w:rPr>
        <w:t>Ford</w:t>
      </w:r>
      <w:r>
        <w:rPr>
          <w:spacing w:val="3"/>
          <w:sz w:val="20"/>
          <w:szCs w:val="20"/>
          <w:lang w:val="en-US"/>
        </w:rPr>
        <w:t xml:space="preserve"> </w:t>
      </w:r>
      <w:r>
        <w:rPr>
          <w:spacing w:val="-2"/>
          <w:sz w:val="20"/>
          <w:szCs w:val="20"/>
          <w:lang w:val="en-US"/>
        </w:rPr>
        <w:t>Innovation</w:t>
      </w:r>
      <w:r>
        <w:rPr>
          <w:spacing w:val="4"/>
          <w:sz w:val="20"/>
          <w:szCs w:val="20"/>
          <w:lang w:val="en-US"/>
        </w:rPr>
        <w:t xml:space="preserve"> </w:t>
      </w:r>
      <w:r>
        <w:rPr>
          <w:spacing w:val="-2"/>
          <w:sz w:val="20"/>
          <w:szCs w:val="20"/>
          <w:lang w:val="en-US"/>
        </w:rPr>
        <w:t>Challenge</w:t>
      </w:r>
      <w:r>
        <w:rPr>
          <w:spacing w:val="4"/>
          <w:sz w:val="20"/>
          <w:szCs w:val="20"/>
          <w:lang w:val="en-US"/>
        </w:rPr>
        <w:t xml:space="preserve"> </w:t>
      </w:r>
      <w:r>
        <w:rPr>
          <w:spacing w:val="-2"/>
          <w:sz w:val="20"/>
          <w:szCs w:val="20"/>
          <w:lang w:val="en-US"/>
        </w:rPr>
        <w:t>III</w:t>
      </w:r>
      <w:r>
        <w:rPr>
          <w:spacing w:val="4"/>
          <w:sz w:val="20"/>
          <w:szCs w:val="20"/>
          <w:lang w:val="en-US"/>
        </w:rPr>
        <w:t xml:space="preserve"> </w:t>
      </w:r>
      <w:r>
        <w:rPr>
          <w:spacing w:val="-2"/>
          <w:sz w:val="20"/>
          <w:szCs w:val="20"/>
          <w:lang w:val="en-US"/>
        </w:rPr>
        <w:t>—</w:t>
      </w:r>
      <w:r>
        <w:rPr>
          <w:spacing w:val="3"/>
          <w:sz w:val="20"/>
          <w:szCs w:val="20"/>
          <w:lang w:val="en-US"/>
        </w:rPr>
        <w:t xml:space="preserve"> </w:t>
      </w:r>
      <w:r>
        <w:rPr>
          <w:spacing w:val="-2"/>
          <w:sz w:val="20"/>
          <w:szCs w:val="20"/>
          <w:lang w:val="en-US"/>
        </w:rPr>
        <w:t>AI</w:t>
      </w:r>
      <w:r>
        <w:rPr>
          <w:spacing w:val="4"/>
          <w:sz w:val="20"/>
          <w:szCs w:val="20"/>
          <w:lang w:val="en-US"/>
        </w:rPr>
        <w:t xml:space="preserve"> </w:t>
      </w:r>
      <w:r>
        <w:rPr>
          <w:spacing w:val="-2"/>
          <w:sz w:val="20"/>
          <w:szCs w:val="20"/>
          <w:lang w:val="en-US"/>
        </w:rPr>
        <w:t>Edition</w:t>
      </w:r>
      <w:r>
        <w:rPr>
          <w:spacing w:val="4"/>
          <w:sz w:val="20"/>
          <w:szCs w:val="20"/>
          <w:lang w:val="en-US"/>
        </w:rPr>
        <w:t xml:space="preserve"> </w:t>
      </w:r>
      <w:r>
        <w:rPr>
          <w:spacing w:val="-2"/>
          <w:sz w:val="20"/>
          <w:szCs w:val="20"/>
          <w:lang w:val="en-US"/>
        </w:rPr>
        <w:t>—</w:t>
      </w:r>
      <w:r>
        <w:rPr>
          <w:spacing w:val="4"/>
          <w:sz w:val="20"/>
          <w:szCs w:val="20"/>
          <w:lang w:val="en-US"/>
        </w:rPr>
        <w:t xml:space="preserve"> </w:t>
      </w:r>
      <w:r>
        <w:rPr>
          <w:spacing w:val="-4"/>
          <w:sz w:val="20"/>
          <w:szCs w:val="20"/>
          <w:lang w:val="en-US"/>
        </w:rPr>
        <w:t>2026</w:t>
      </w:r>
    </w:p>
    <w:p w14:paraId="3C5AD764" w14:textId="77777777" w:rsidR="00B63A85" w:rsidRDefault="00B63A85">
      <w:pPr>
        <w:pStyle w:val="BodyText"/>
        <w:rPr>
          <w:i w:val="0"/>
          <w:sz w:val="20"/>
          <w:lang w:val="en-US"/>
        </w:rPr>
      </w:pPr>
    </w:p>
    <w:p w14:paraId="0405E422" w14:textId="77777777" w:rsidR="00B63A85" w:rsidRDefault="00B63A85">
      <w:pPr>
        <w:pStyle w:val="BodyText"/>
        <w:rPr>
          <w:i w:val="0"/>
          <w:sz w:val="20"/>
          <w:lang w:val="en-US"/>
        </w:rPr>
      </w:pPr>
    </w:p>
    <w:p w14:paraId="710DA6CB" w14:textId="77777777" w:rsidR="00B63A85" w:rsidRDefault="00B63A85">
      <w:pPr>
        <w:pStyle w:val="BodyText"/>
        <w:spacing w:before="193"/>
        <w:rPr>
          <w:i w:val="0"/>
          <w:sz w:val="20"/>
          <w:lang w:val="en-US"/>
        </w:rPr>
      </w:pPr>
    </w:p>
    <w:p w14:paraId="33C4ADA9" w14:textId="77777777" w:rsidR="00B63A85" w:rsidRDefault="00C0062E">
      <w:pPr>
        <w:pStyle w:val="Title"/>
        <w:spacing w:line="228" w:lineRule="auto"/>
        <w:rPr>
          <w:lang w:val="en-US"/>
        </w:rPr>
      </w:pPr>
      <w:r>
        <w:rPr>
          <w:w w:val="105"/>
          <w:lang w:val="en-US"/>
        </w:rPr>
        <w:t xml:space="preserve">Ford Innovation Challenge </w:t>
      </w:r>
      <w:r>
        <w:rPr>
          <w:lang w:val="en-US"/>
        </w:rPr>
        <w:t>III: AI</w:t>
      </w:r>
      <w:r>
        <w:rPr>
          <w:w w:val="105"/>
          <w:lang w:val="en-US"/>
        </w:rPr>
        <w:t xml:space="preserve"> Edition</w:t>
      </w:r>
    </w:p>
    <w:p w14:paraId="1B47063C" w14:textId="77777777" w:rsidR="00B63A85" w:rsidRDefault="00C0062E">
      <w:pPr>
        <w:pStyle w:val="Title"/>
        <w:spacing w:before="208"/>
        <w:ind w:right="801"/>
      </w:pPr>
      <w:r>
        <w:rPr>
          <w:w w:val="105"/>
        </w:rPr>
        <w:t>Informe</w:t>
      </w:r>
      <w:r>
        <w:rPr>
          <w:spacing w:val="35"/>
          <w:w w:val="105"/>
        </w:rPr>
        <w:t xml:space="preserve"> </w:t>
      </w:r>
      <w:r>
        <w:rPr>
          <w:w w:val="105"/>
        </w:rPr>
        <w:t>de</w:t>
      </w:r>
      <w:r>
        <w:rPr>
          <w:spacing w:val="36"/>
          <w:w w:val="105"/>
        </w:rPr>
        <w:t xml:space="preserve"> </w:t>
      </w:r>
      <w:r>
        <w:rPr>
          <w:w w:val="105"/>
        </w:rPr>
        <w:t>la</w:t>
      </w:r>
      <w:r>
        <w:rPr>
          <w:spacing w:val="36"/>
          <w:w w:val="105"/>
        </w:rPr>
        <w:t xml:space="preserve"> </w:t>
      </w:r>
      <w:r>
        <w:rPr>
          <w:spacing w:val="-2"/>
          <w:w w:val="105"/>
        </w:rPr>
        <w:t>Solución</w:t>
      </w:r>
    </w:p>
    <w:p w14:paraId="0EC6FD79" w14:textId="77777777" w:rsidR="00B63A85" w:rsidRDefault="00C0062E">
      <w:pPr>
        <w:spacing w:before="201"/>
        <w:ind w:left="171" w:right="9"/>
        <w:jc w:val="center"/>
        <w:rPr>
          <w:b/>
          <w:sz w:val="24"/>
        </w:rPr>
      </w:pPr>
      <w:r>
        <w:rPr>
          <w:b/>
          <w:w w:val="105"/>
          <w:sz w:val="24"/>
        </w:rPr>
        <w:t>Desafío 1: Data-Driven Repurchase based on Service Retention</w:t>
      </w:r>
    </w:p>
    <w:p w14:paraId="02F6BDFD" w14:textId="77777777" w:rsidR="00B63A85" w:rsidRDefault="00C0062E">
      <w:pPr>
        <w:spacing w:before="138"/>
        <w:ind w:left="171"/>
        <w:jc w:val="center"/>
        <w:rPr>
          <w:b/>
        </w:rPr>
      </w:pPr>
      <w:r>
        <w:rPr>
          <w:b/>
          <w:w w:val="105"/>
        </w:rPr>
        <w:t>Equipo: SIMtec</w:t>
      </w:r>
    </w:p>
    <w:p w14:paraId="4EE33AC5" w14:textId="77777777" w:rsidR="00B63A85" w:rsidRDefault="00B63A85">
      <w:pPr>
        <w:pStyle w:val="BodyText"/>
        <w:rPr>
          <w:b/>
          <w:i w:val="0"/>
          <w:sz w:val="20"/>
        </w:rPr>
      </w:pPr>
    </w:p>
    <w:p w14:paraId="7E5289AE" w14:textId="77777777" w:rsidR="00B63A85" w:rsidRDefault="00B63A85">
      <w:pPr>
        <w:pStyle w:val="BodyText"/>
        <w:rPr>
          <w:b/>
          <w:i w:val="0"/>
          <w:sz w:val="20"/>
        </w:rPr>
      </w:pPr>
    </w:p>
    <w:p w14:paraId="3F78E18E" w14:textId="77777777" w:rsidR="00B63A85" w:rsidRDefault="00B63A85">
      <w:pPr>
        <w:pStyle w:val="BodyText"/>
        <w:spacing w:before="12"/>
        <w:rPr>
          <w:b/>
          <w:i w:val="0"/>
          <w:sz w:val="20"/>
        </w:rPr>
      </w:pPr>
    </w:p>
    <w:tbl>
      <w:tblPr>
        <w:tblW w:w="7837" w:type="dxa"/>
        <w:tblInd w:w="635" w:type="dxa"/>
        <w:tblLayout w:type="fixed"/>
        <w:tblCellMar>
          <w:left w:w="5" w:type="dxa"/>
          <w:right w:w="5" w:type="dxa"/>
        </w:tblCellMar>
        <w:tblLook w:val="01E0" w:firstRow="1" w:lastRow="1" w:firstColumn="1" w:lastColumn="1" w:noHBand="0" w:noVBand="0"/>
      </w:tblPr>
      <w:tblGrid>
        <w:gridCol w:w="2508"/>
        <w:gridCol w:w="1568"/>
        <w:gridCol w:w="1772"/>
        <w:gridCol w:w="1989"/>
      </w:tblGrid>
      <w:tr w:rsidR="00B63A85" w14:paraId="7A2410A1" w14:textId="77777777">
        <w:trPr>
          <w:trHeight w:val="268"/>
        </w:trPr>
        <w:tc>
          <w:tcPr>
            <w:tcW w:w="7836" w:type="dxa"/>
            <w:gridSpan w:val="4"/>
            <w:tcBorders>
              <w:top w:val="single" w:sz="4" w:space="0" w:color="000000"/>
              <w:left w:val="single" w:sz="4" w:space="0" w:color="000000"/>
              <w:bottom w:val="single" w:sz="4" w:space="0" w:color="000000"/>
              <w:right w:val="single" w:sz="4" w:space="0" w:color="000000"/>
            </w:tcBorders>
          </w:tcPr>
          <w:p w14:paraId="1B71DC7B" w14:textId="77777777" w:rsidR="00B63A85" w:rsidRDefault="00C0062E">
            <w:pPr>
              <w:pStyle w:val="TableParagraph"/>
              <w:ind w:left="4"/>
              <w:jc w:val="center"/>
              <w:rPr>
                <w:b/>
              </w:rPr>
            </w:pPr>
            <w:bookmarkStart w:id="0" w:name="Índice"/>
            <w:bookmarkStart w:id="1" w:name="_bookmark0"/>
            <w:bookmarkEnd w:id="0"/>
            <w:bookmarkEnd w:id="1"/>
            <w:r>
              <w:rPr>
                <w:b/>
                <w:spacing w:val="-2"/>
                <w:w w:val="110"/>
              </w:rPr>
              <w:t>Integrantes</w:t>
            </w:r>
          </w:p>
        </w:tc>
      </w:tr>
      <w:tr w:rsidR="00B63A85" w14:paraId="4C81DCD1" w14:textId="77777777">
        <w:trPr>
          <w:trHeight w:val="268"/>
        </w:trPr>
        <w:tc>
          <w:tcPr>
            <w:tcW w:w="2507" w:type="dxa"/>
            <w:tcBorders>
              <w:top w:val="single" w:sz="4" w:space="0" w:color="000000"/>
              <w:left w:val="single" w:sz="4" w:space="0" w:color="000000"/>
              <w:bottom w:val="single" w:sz="4" w:space="0" w:color="000000"/>
              <w:right w:val="single" w:sz="4" w:space="0" w:color="000000"/>
            </w:tcBorders>
          </w:tcPr>
          <w:p w14:paraId="549EE84C" w14:textId="77777777" w:rsidR="00B63A85" w:rsidRDefault="00C0062E">
            <w:pPr>
              <w:pStyle w:val="TableParagraph"/>
              <w:rPr>
                <w:b/>
              </w:rPr>
            </w:pPr>
            <w:r>
              <w:rPr>
                <w:b/>
                <w:w w:val="105"/>
              </w:rPr>
              <w:t>Nombre</w:t>
            </w:r>
            <w:r>
              <w:rPr>
                <w:b/>
                <w:spacing w:val="28"/>
                <w:w w:val="105"/>
              </w:rPr>
              <w:t xml:space="preserve"> </w:t>
            </w:r>
            <w:r>
              <w:rPr>
                <w:b/>
                <w:w w:val="105"/>
              </w:rPr>
              <w:t>y</w:t>
            </w:r>
            <w:r>
              <w:rPr>
                <w:b/>
                <w:spacing w:val="29"/>
                <w:w w:val="105"/>
              </w:rPr>
              <w:t xml:space="preserve"> </w:t>
            </w:r>
            <w:r>
              <w:rPr>
                <w:b/>
                <w:spacing w:val="-2"/>
                <w:w w:val="105"/>
              </w:rPr>
              <w:t>apellido</w:t>
            </w:r>
          </w:p>
        </w:tc>
        <w:tc>
          <w:tcPr>
            <w:tcW w:w="1568" w:type="dxa"/>
            <w:tcBorders>
              <w:top w:val="single" w:sz="4" w:space="0" w:color="000000"/>
              <w:left w:val="single" w:sz="4" w:space="0" w:color="000000"/>
              <w:bottom w:val="single" w:sz="4" w:space="0" w:color="000000"/>
              <w:right w:val="single" w:sz="4" w:space="0" w:color="000000"/>
            </w:tcBorders>
          </w:tcPr>
          <w:p w14:paraId="6F429688" w14:textId="77777777" w:rsidR="00B63A85" w:rsidRDefault="00C0062E">
            <w:pPr>
              <w:pStyle w:val="TableParagraph"/>
              <w:rPr>
                <w:b/>
              </w:rPr>
            </w:pPr>
            <w:r>
              <w:rPr>
                <w:b/>
                <w:spacing w:val="-2"/>
                <w:w w:val="105"/>
              </w:rPr>
              <w:t>Universidad</w:t>
            </w:r>
          </w:p>
        </w:tc>
        <w:tc>
          <w:tcPr>
            <w:tcW w:w="1772" w:type="dxa"/>
            <w:tcBorders>
              <w:top w:val="single" w:sz="4" w:space="0" w:color="000000"/>
              <w:left w:val="single" w:sz="4" w:space="0" w:color="000000"/>
              <w:bottom w:val="single" w:sz="4" w:space="0" w:color="000000"/>
              <w:right w:val="single" w:sz="4" w:space="0" w:color="000000"/>
            </w:tcBorders>
          </w:tcPr>
          <w:p w14:paraId="6895C0F6" w14:textId="77777777" w:rsidR="00B63A85" w:rsidRDefault="00C0062E">
            <w:pPr>
              <w:pStyle w:val="TableParagraph"/>
              <w:ind w:left="0"/>
              <w:jc w:val="center"/>
              <w:rPr>
                <w:b/>
              </w:rPr>
            </w:pPr>
            <w:r>
              <w:rPr>
                <w:b/>
                <w:spacing w:val="-2"/>
                <w:w w:val="115"/>
              </w:rPr>
              <w:t>Carrera</w:t>
            </w:r>
          </w:p>
        </w:tc>
        <w:tc>
          <w:tcPr>
            <w:tcW w:w="1989" w:type="dxa"/>
            <w:tcBorders>
              <w:top w:val="single" w:sz="4" w:space="0" w:color="000000"/>
              <w:left w:val="single" w:sz="4" w:space="0" w:color="000000"/>
              <w:bottom w:val="single" w:sz="4" w:space="0" w:color="000000"/>
              <w:right w:val="single" w:sz="4" w:space="0" w:color="000000"/>
            </w:tcBorders>
          </w:tcPr>
          <w:p w14:paraId="54188A63" w14:textId="77777777" w:rsidR="00B63A85" w:rsidRDefault="00C0062E">
            <w:pPr>
              <w:pStyle w:val="TableParagraph"/>
              <w:ind w:left="120"/>
              <w:rPr>
                <w:b/>
              </w:rPr>
            </w:pPr>
            <w:r>
              <w:rPr>
                <w:b/>
                <w:w w:val="110"/>
              </w:rPr>
              <w:t>Correo</w:t>
            </w:r>
            <w:r>
              <w:rPr>
                <w:b/>
                <w:spacing w:val="22"/>
                <w:w w:val="110"/>
              </w:rPr>
              <w:t xml:space="preserve"> </w:t>
            </w:r>
            <w:r>
              <w:rPr>
                <w:b/>
                <w:spacing w:val="-2"/>
                <w:w w:val="110"/>
              </w:rPr>
              <w:t>electrónico</w:t>
            </w:r>
          </w:p>
        </w:tc>
      </w:tr>
      <w:tr w:rsidR="00B63A85" w14:paraId="025AE3F7" w14:textId="77777777">
        <w:trPr>
          <w:trHeight w:val="268"/>
        </w:trPr>
        <w:tc>
          <w:tcPr>
            <w:tcW w:w="2507" w:type="dxa"/>
            <w:tcBorders>
              <w:top w:val="single" w:sz="4" w:space="0" w:color="000000"/>
              <w:left w:val="single" w:sz="4" w:space="0" w:color="000000"/>
              <w:bottom w:val="single" w:sz="4" w:space="0" w:color="000000"/>
              <w:right w:val="single" w:sz="4" w:space="0" w:color="000000"/>
            </w:tcBorders>
          </w:tcPr>
          <w:p w14:paraId="2D012A80" w14:textId="77777777" w:rsidR="00B63A85" w:rsidRDefault="00C0062E">
            <w:pPr>
              <w:pStyle w:val="TableParagraph"/>
            </w:pPr>
            <w:r>
              <w:rPr>
                <w:spacing w:val="-6"/>
              </w:rPr>
              <w:t>Malfetano,</w:t>
            </w:r>
            <w:r>
              <w:rPr>
                <w:spacing w:val="6"/>
              </w:rPr>
              <w:t xml:space="preserve"> </w:t>
            </w:r>
            <w:r>
              <w:rPr>
                <w:spacing w:val="-2"/>
              </w:rPr>
              <w:t>Franco Tomás</w:t>
            </w:r>
          </w:p>
        </w:tc>
        <w:tc>
          <w:tcPr>
            <w:tcW w:w="1568" w:type="dxa"/>
            <w:tcBorders>
              <w:top w:val="single" w:sz="4" w:space="0" w:color="000000"/>
              <w:left w:val="single" w:sz="4" w:space="0" w:color="000000"/>
              <w:bottom w:val="single" w:sz="4" w:space="0" w:color="000000"/>
              <w:right w:val="single" w:sz="4" w:space="0" w:color="000000"/>
            </w:tcBorders>
          </w:tcPr>
          <w:p w14:paraId="20C82B8C" w14:textId="77777777" w:rsidR="00B63A85" w:rsidRDefault="00C0062E">
            <w:pPr>
              <w:pStyle w:val="TableParagraph"/>
            </w:pPr>
            <w:r>
              <w:rPr>
                <w:spacing w:val="-2"/>
              </w:rPr>
              <w:t>UADE</w:t>
            </w:r>
          </w:p>
        </w:tc>
        <w:tc>
          <w:tcPr>
            <w:tcW w:w="1772" w:type="dxa"/>
            <w:tcBorders>
              <w:top w:val="single" w:sz="4" w:space="0" w:color="000000"/>
              <w:left w:val="single" w:sz="4" w:space="0" w:color="000000"/>
              <w:bottom w:val="single" w:sz="4" w:space="0" w:color="000000"/>
              <w:right w:val="single" w:sz="4" w:space="0" w:color="000000"/>
            </w:tcBorders>
          </w:tcPr>
          <w:p w14:paraId="3A3B526E" w14:textId="77777777" w:rsidR="00B63A85" w:rsidRDefault="00C0062E">
            <w:pPr>
              <w:pStyle w:val="TableParagraph"/>
              <w:ind w:left="0" w:right="118"/>
              <w:jc w:val="center"/>
            </w:pPr>
            <w:r>
              <w:rPr>
                <w:spacing w:val="-2"/>
              </w:rPr>
              <w:t>Tecnicatura en Desarrollo de Software</w:t>
            </w:r>
          </w:p>
        </w:tc>
        <w:tc>
          <w:tcPr>
            <w:tcW w:w="1989" w:type="dxa"/>
            <w:tcBorders>
              <w:top w:val="single" w:sz="4" w:space="0" w:color="000000"/>
              <w:left w:val="single" w:sz="4" w:space="0" w:color="000000"/>
              <w:bottom w:val="single" w:sz="4" w:space="0" w:color="000000"/>
              <w:right w:val="single" w:sz="4" w:space="0" w:color="000000"/>
            </w:tcBorders>
          </w:tcPr>
          <w:p w14:paraId="10D62520" w14:textId="3249876E" w:rsidR="00B63A85" w:rsidRDefault="00B63A85">
            <w:pPr>
              <w:pStyle w:val="TableParagraph"/>
              <w:ind w:left="120"/>
            </w:pPr>
            <w:hyperlink r:id="rId11">
              <w:r>
                <w:rPr>
                  <w:spacing w:val="-2"/>
                </w:rPr>
                <w:t>franmalfe@gmail.com</w:t>
              </w:r>
            </w:hyperlink>
          </w:p>
        </w:tc>
      </w:tr>
      <w:tr w:rsidR="00B63A85" w14:paraId="0D45FAAB" w14:textId="77777777">
        <w:trPr>
          <w:trHeight w:val="268"/>
        </w:trPr>
        <w:tc>
          <w:tcPr>
            <w:tcW w:w="2507" w:type="dxa"/>
            <w:tcBorders>
              <w:top w:val="single" w:sz="4" w:space="0" w:color="000000"/>
              <w:left w:val="single" w:sz="4" w:space="0" w:color="000000"/>
              <w:bottom w:val="single" w:sz="4" w:space="0" w:color="000000"/>
              <w:right w:val="single" w:sz="4" w:space="0" w:color="000000"/>
            </w:tcBorders>
          </w:tcPr>
          <w:p w14:paraId="73E83C11" w14:textId="77777777" w:rsidR="00B63A85" w:rsidRDefault="00C0062E">
            <w:pPr>
              <w:pStyle w:val="TableParagraph"/>
            </w:pPr>
            <w:r>
              <w:rPr>
                <w:spacing w:val="-6"/>
              </w:rPr>
              <w:t>Iuzzolino,</w:t>
            </w:r>
            <w:r>
              <w:rPr>
                <w:spacing w:val="6"/>
              </w:rPr>
              <w:t xml:space="preserve"> </w:t>
            </w:r>
            <w:r>
              <w:rPr>
                <w:spacing w:val="-2"/>
              </w:rPr>
              <w:t>María Florencia</w:t>
            </w:r>
          </w:p>
        </w:tc>
        <w:tc>
          <w:tcPr>
            <w:tcW w:w="1568" w:type="dxa"/>
            <w:tcBorders>
              <w:top w:val="single" w:sz="4" w:space="0" w:color="000000"/>
              <w:left w:val="single" w:sz="4" w:space="0" w:color="000000"/>
              <w:bottom w:val="single" w:sz="4" w:space="0" w:color="000000"/>
              <w:right w:val="single" w:sz="4" w:space="0" w:color="000000"/>
            </w:tcBorders>
          </w:tcPr>
          <w:p w14:paraId="2F554101" w14:textId="77777777" w:rsidR="00B63A85" w:rsidRDefault="00C0062E">
            <w:pPr>
              <w:pStyle w:val="TableParagraph"/>
            </w:pPr>
            <w:r>
              <w:rPr>
                <w:spacing w:val="-2"/>
              </w:rPr>
              <w:t>UADE</w:t>
            </w:r>
          </w:p>
        </w:tc>
        <w:tc>
          <w:tcPr>
            <w:tcW w:w="1772" w:type="dxa"/>
            <w:tcBorders>
              <w:top w:val="single" w:sz="4" w:space="0" w:color="000000"/>
              <w:left w:val="single" w:sz="4" w:space="0" w:color="000000"/>
              <w:bottom w:val="single" w:sz="4" w:space="0" w:color="000000"/>
              <w:right w:val="single" w:sz="4" w:space="0" w:color="000000"/>
            </w:tcBorders>
          </w:tcPr>
          <w:p w14:paraId="74AB9243" w14:textId="77777777" w:rsidR="00B63A85" w:rsidRDefault="00C0062E">
            <w:pPr>
              <w:pStyle w:val="TableParagraph"/>
              <w:ind w:left="0" w:right="118"/>
              <w:jc w:val="center"/>
            </w:pPr>
            <w:r>
              <w:rPr>
                <w:spacing w:val="-2"/>
              </w:rPr>
              <w:t>Licenciatura en gestión de tecnologías de la información</w:t>
            </w:r>
          </w:p>
        </w:tc>
        <w:tc>
          <w:tcPr>
            <w:tcW w:w="1989" w:type="dxa"/>
            <w:tcBorders>
              <w:top w:val="single" w:sz="4" w:space="0" w:color="000000"/>
              <w:left w:val="single" w:sz="4" w:space="0" w:color="000000"/>
              <w:bottom w:val="single" w:sz="4" w:space="0" w:color="000000"/>
              <w:right w:val="single" w:sz="4" w:space="0" w:color="000000"/>
            </w:tcBorders>
          </w:tcPr>
          <w:p w14:paraId="7516F871" w14:textId="77777777" w:rsidR="00B63A85" w:rsidRDefault="00C0062E">
            <w:pPr>
              <w:pStyle w:val="TableParagraph"/>
              <w:ind w:left="120"/>
            </w:pPr>
            <w:r>
              <w:rPr>
                <w:spacing w:val="-2"/>
              </w:rPr>
              <w:t>miuzzolino@uade.edu.ar</w:t>
            </w:r>
          </w:p>
        </w:tc>
      </w:tr>
      <w:tr w:rsidR="00B63A85" w14:paraId="07375745" w14:textId="77777777">
        <w:trPr>
          <w:trHeight w:val="268"/>
        </w:trPr>
        <w:tc>
          <w:tcPr>
            <w:tcW w:w="2507" w:type="dxa"/>
            <w:tcBorders>
              <w:top w:val="single" w:sz="4" w:space="0" w:color="000000"/>
              <w:left w:val="single" w:sz="4" w:space="0" w:color="000000"/>
              <w:bottom w:val="single" w:sz="4" w:space="0" w:color="000000"/>
              <w:right w:val="single" w:sz="4" w:space="0" w:color="000000"/>
            </w:tcBorders>
          </w:tcPr>
          <w:p w14:paraId="50AE3016" w14:textId="77777777" w:rsidR="00B63A85" w:rsidRDefault="00C0062E">
            <w:pPr>
              <w:pStyle w:val="TableParagraph"/>
            </w:pPr>
            <w:r>
              <w:rPr>
                <w:spacing w:val="-6"/>
              </w:rPr>
              <w:t>Samaan Piroli,</w:t>
            </w:r>
            <w:r>
              <w:rPr>
                <w:spacing w:val="6"/>
              </w:rPr>
              <w:t xml:space="preserve"> </w:t>
            </w:r>
            <w:r>
              <w:rPr>
                <w:spacing w:val="-2"/>
              </w:rPr>
              <w:t>Teodoro</w:t>
            </w:r>
          </w:p>
        </w:tc>
        <w:tc>
          <w:tcPr>
            <w:tcW w:w="1568" w:type="dxa"/>
            <w:tcBorders>
              <w:top w:val="single" w:sz="4" w:space="0" w:color="000000"/>
              <w:left w:val="single" w:sz="4" w:space="0" w:color="000000"/>
              <w:bottom w:val="single" w:sz="4" w:space="0" w:color="000000"/>
              <w:right w:val="single" w:sz="4" w:space="0" w:color="000000"/>
            </w:tcBorders>
          </w:tcPr>
          <w:p w14:paraId="45779E26" w14:textId="77777777" w:rsidR="00B63A85" w:rsidRDefault="00C0062E">
            <w:pPr>
              <w:pStyle w:val="TableParagraph"/>
            </w:pPr>
            <w:r>
              <w:rPr>
                <w:spacing w:val="-2"/>
              </w:rPr>
              <w:t>UADE</w:t>
            </w:r>
          </w:p>
        </w:tc>
        <w:tc>
          <w:tcPr>
            <w:tcW w:w="1772" w:type="dxa"/>
            <w:tcBorders>
              <w:top w:val="single" w:sz="4" w:space="0" w:color="000000"/>
              <w:left w:val="single" w:sz="4" w:space="0" w:color="000000"/>
              <w:bottom w:val="single" w:sz="4" w:space="0" w:color="000000"/>
              <w:right w:val="single" w:sz="4" w:space="0" w:color="000000"/>
            </w:tcBorders>
          </w:tcPr>
          <w:p w14:paraId="18FAEFB3" w14:textId="77777777" w:rsidR="00B63A85" w:rsidRDefault="00C0062E">
            <w:pPr>
              <w:pStyle w:val="TableParagraph"/>
              <w:ind w:left="0" w:right="118"/>
              <w:jc w:val="center"/>
            </w:pPr>
            <w:r>
              <w:rPr>
                <w:spacing w:val="-2"/>
              </w:rPr>
              <w:t>Licenciatura en gestión de tecnologías de la información</w:t>
            </w:r>
          </w:p>
        </w:tc>
        <w:tc>
          <w:tcPr>
            <w:tcW w:w="1989" w:type="dxa"/>
            <w:tcBorders>
              <w:top w:val="single" w:sz="4" w:space="0" w:color="000000"/>
              <w:left w:val="single" w:sz="4" w:space="0" w:color="000000"/>
              <w:bottom w:val="single" w:sz="4" w:space="0" w:color="000000"/>
              <w:right w:val="single" w:sz="4" w:space="0" w:color="000000"/>
            </w:tcBorders>
          </w:tcPr>
          <w:p w14:paraId="6DCA5BF9" w14:textId="77777777" w:rsidR="00B63A85" w:rsidRDefault="00C0062E">
            <w:pPr>
              <w:pStyle w:val="TableParagraph"/>
              <w:ind w:left="120"/>
            </w:pPr>
            <w:r>
              <w:rPr>
                <w:spacing w:val="-2"/>
              </w:rPr>
              <w:t>tsamaanpiroli@uade.edu.ar</w:t>
            </w:r>
          </w:p>
        </w:tc>
      </w:tr>
    </w:tbl>
    <w:p w14:paraId="711BB6A0" w14:textId="77777777" w:rsidR="00B63A85" w:rsidRDefault="00B63A85">
      <w:pPr>
        <w:sectPr w:rsidR="00B63A85">
          <w:headerReference w:type="even" r:id="rId12"/>
          <w:headerReference w:type="default" r:id="rId13"/>
          <w:footerReference w:type="even" r:id="rId14"/>
          <w:footerReference w:type="default" r:id="rId15"/>
          <w:headerReference w:type="first" r:id="rId16"/>
          <w:footerReference w:type="first" r:id="rId17"/>
          <w:pgSz w:w="11906" w:h="16838"/>
          <w:pgMar w:top="1400" w:right="1559" w:bottom="777" w:left="1417" w:header="720" w:footer="720" w:gutter="0"/>
          <w:cols w:space="720"/>
          <w:formProt w:val="0"/>
          <w:docGrid w:linePitch="100"/>
        </w:sectPr>
      </w:pPr>
    </w:p>
    <w:p w14:paraId="4F39F9AE" w14:textId="77777777" w:rsidR="00B63A85" w:rsidRDefault="00C0062E">
      <w:pPr>
        <w:pStyle w:val="Heading1"/>
        <w:keepNext/>
        <w:tabs>
          <w:tab w:val="left" w:pos="8901"/>
        </w:tabs>
        <w:ind w:left="170" w:firstLine="0"/>
        <w:rPr>
          <w:u w:val="none"/>
        </w:rPr>
      </w:pPr>
      <w:r>
        <w:rPr>
          <w:spacing w:val="-2"/>
          <w:w w:val="105"/>
        </w:rPr>
        <w:lastRenderedPageBreak/>
        <w:t>Índice</w:t>
      </w:r>
      <w:r>
        <w:tab/>
      </w:r>
    </w:p>
    <w:sdt>
      <w:sdtPr>
        <w:rPr>
          <w:b w:val="0"/>
          <w:bCs w:val="0"/>
        </w:rPr>
        <w:id w:val="1020985951"/>
        <w:docPartObj>
          <w:docPartGallery w:val="Table of Contents"/>
          <w:docPartUnique/>
        </w:docPartObj>
      </w:sdtPr>
      <w:sdtEndPr/>
      <w:sdtContent>
        <w:p w14:paraId="35CE8F52" w14:textId="24CC5048" w:rsidR="00EB3C67" w:rsidRDefault="00C0062E">
          <w:pPr>
            <w:pStyle w:val="TOC1"/>
            <w:tabs>
              <w:tab w:val="left" w:pos="995"/>
              <w:tab w:val="right" w:leader="dot" w:pos="8920"/>
            </w:tabs>
            <w:rPr>
              <w:rFonts w:asciiTheme="minorHAnsi" w:eastAsiaTheme="minorEastAsia" w:hAnsiTheme="minorHAnsi" w:cstheme="minorBidi"/>
              <w:b w:val="0"/>
              <w:bCs w:val="0"/>
              <w:noProof/>
              <w:kern w:val="2"/>
              <w:sz w:val="24"/>
              <w:szCs w:val="24"/>
              <w:lang w:val="es-AR" w:eastAsia="es-AR"/>
              <w14:ligatures w14:val="standardContextual"/>
            </w:rPr>
          </w:pPr>
          <w:r>
            <w:fldChar w:fldCharType="begin"/>
          </w:r>
          <w:r>
            <w:rPr>
              <w:rStyle w:val="Enlacedelndice"/>
              <w:webHidden/>
              <w:spacing w:val="-1"/>
              <w:w w:val="105"/>
            </w:rPr>
            <w:instrText xml:space="preserve"> TOC \z \b "cuerpo_informe" \o "1-3" \u \h</w:instrText>
          </w:r>
          <w:r>
            <w:rPr>
              <w:rStyle w:val="Enlacedelndice"/>
              <w:spacing w:val="-1"/>
              <w:w w:val="105"/>
            </w:rPr>
            <w:fldChar w:fldCharType="separate"/>
          </w:r>
          <w:hyperlink w:anchor="_Toc241847767" w:history="1">
            <w:r w:rsidR="00EB3C67" w:rsidRPr="00267743">
              <w:rPr>
                <w:rStyle w:val="Hyperlink"/>
                <w:noProof/>
                <w:spacing w:val="-1"/>
                <w:w w:val="105"/>
              </w:rPr>
              <w:t>1.</w:t>
            </w:r>
            <w:r w:rsidR="00EB3C67">
              <w:rPr>
                <w:rFonts w:asciiTheme="minorHAnsi" w:eastAsiaTheme="minorEastAsia" w:hAnsiTheme="minorHAnsi" w:cstheme="minorBidi"/>
                <w:b w:val="0"/>
                <w:bCs w:val="0"/>
                <w:noProof/>
                <w:kern w:val="2"/>
                <w:sz w:val="24"/>
                <w:szCs w:val="24"/>
                <w:lang w:val="es-AR" w:eastAsia="es-AR"/>
                <w14:ligatures w14:val="standardContextual"/>
              </w:rPr>
              <w:tab/>
            </w:r>
            <w:r w:rsidR="00EB3C67" w:rsidRPr="00267743">
              <w:rPr>
                <w:rStyle w:val="Hyperlink"/>
                <w:noProof/>
              </w:rPr>
              <w:t>Descripción</w:t>
            </w:r>
            <w:r w:rsidR="00EB3C67" w:rsidRPr="00267743">
              <w:rPr>
                <w:rStyle w:val="Hyperlink"/>
                <w:noProof/>
                <w:spacing w:val="42"/>
              </w:rPr>
              <w:t xml:space="preserve"> </w:t>
            </w:r>
            <w:r w:rsidR="00EB3C67" w:rsidRPr="00267743">
              <w:rPr>
                <w:rStyle w:val="Hyperlink"/>
                <w:noProof/>
              </w:rPr>
              <w:t>del</w:t>
            </w:r>
            <w:r w:rsidR="00EB3C67" w:rsidRPr="00267743">
              <w:rPr>
                <w:rStyle w:val="Hyperlink"/>
                <w:noProof/>
                <w:spacing w:val="42"/>
              </w:rPr>
              <w:t xml:space="preserve"> </w:t>
            </w:r>
            <w:r w:rsidR="00EB3C67" w:rsidRPr="00267743">
              <w:rPr>
                <w:rStyle w:val="Hyperlink"/>
                <w:noProof/>
                <w:spacing w:val="-2"/>
              </w:rPr>
              <w:t>Desafío</w:t>
            </w:r>
            <w:r w:rsidR="00EB3C67">
              <w:rPr>
                <w:noProof/>
                <w:webHidden/>
              </w:rPr>
              <w:tab/>
            </w:r>
            <w:r w:rsidR="00EB3C67">
              <w:rPr>
                <w:noProof/>
                <w:webHidden/>
              </w:rPr>
              <w:fldChar w:fldCharType="begin"/>
            </w:r>
            <w:r w:rsidR="00EB3C67">
              <w:rPr>
                <w:noProof/>
                <w:webHidden/>
              </w:rPr>
              <w:instrText xml:space="preserve"> PAGEREF _Toc241847767 \h </w:instrText>
            </w:r>
            <w:r w:rsidR="00EB3C67">
              <w:rPr>
                <w:noProof/>
                <w:webHidden/>
              </w:rPr>
            </w:r>
            <w:r w:rsidR="00EB3C67">
              <w:rPr>
                <w:noProof/>
                <w:webHidden/>
              </w:rPr>
              <w:fldChar w:fldCharType="separate"/>
            </w:r>
            <w:r w:rsidR="00EB3C67">
              <w:rPr>
                <w:noProof/>
                <w:webHidden/>
              </w:rPr>
              <w:t>3</w:t>
            </w:r>
            <w:r w:rsidR="00EB3C67">
              <w:rPr>
                <w:noProof/>
                <w:webHidden/>
              </w:rPr>
              <w:fldChar w:fldCharType="end"/>
            </w:r>
          </w:hyperlink>
        </w:p>
        <w:p w14:paraId="505D13DB" w14:textId="6036D227" w:rsidR="00EB3C67" w:rsidRDefault="00EB3C67">
          <w:pPr>
            <w:pStyle w:val="TOC1"/>
            <w:tabs>
              <w:tab w:val="left" w:pos="995"/>
              <w:tab w:val="right" w:leader="dot" w:pos="8920"/>
            </w:tabs>
            <w:rPr>
              <w:rFonts w:asciiTheme="minorHAnsi" w:eastAsiaTheme="minorEastAsia" w:hAnsiTheme="minorHAnsi" w:cstheme="minorBidi"/>
              <w:b w:val="0"/>
              <w:bCs w:val="0"/>
              <w:noProof/>
              <w:kern w:val="2"/>
              <w:sz w:val="24"/>
              <w:szCs w:val="24"/>
              <w:lang w:val="es-AR" w:eastAsia="es-AR"/>
              <w14:ligatures w14:val="standardContextual"/>
            </w:rPr>
          </w:pPr>
          <w:hyperlink w:anchor="_Toc241847768" w:history="1">
            <w:r w:rsidRPr="00267743">
              <w:rPr>
                <w:rStyle w:val="Hyperlink"/>
                <w:noProof/>
                <w:spacing w:val="-1"/>
                <w:w w:val="105"/>
              </w:rPr>
              <w:t>2.</w:t>
            </w:r>
            <w:r>
              <w:rPr>
                <w:rFonts w:asciiTheme="minorHAnsi" w:eastAsiaTheme="minorEastAsia" w:hAnsiTheme="minorHAnsi" w:cstheme="minorBidi"/>
                <w:b w:val="0"/>
                <w:bCs w:val="0"/>
                <w:noProof/>
                <w:kern w:val="2"/>
                <w:sz w:val="24"/>
                <w:szCs w:val="24"/>
                <w:lang w:val="es-AR" w:eastAsia="es-AR"/>
                <w14:ligatures w14:val="standardContextual"/>
              </w:rPr>
              <w:tab/>
            </w:r>
            <w:r w:rsidRPr="00267743">
              <w:rPr>
                <w:rStyle w:val="Hyperlink"/>
                <w:noProof/>
              </w:rPr>
              <w:t>Descripción</w:t>
            </w:r>
            <w:r w:rsidRPr="00267743">
              <w:rPr>
                <w:rStyle w:val="Hyperlink"/>
                <w:noProof/>
                <w:spacing w:val="42"/>
              </w:rPr>
              <w:t xml:space="preserve"> </w:t>
            </w:r>
            <w:r w:rsidRPr="00267743">
              <w:rPr>
                <w:rStyle w:val="Hyperlink"/>
                <w:noProof/>
              </w:rPr>
              <w:t>de</w:t>
            </w:r>
            <w:r w:rsidRPr="00267743">
              <w:rPr>
                <w:rStyle w:val="Hyperlink"/>
                <w:noProof/>
                <w:spacing w:val="41"/>
              </w:rPr>
              <w:t xml:space="preserve"> </w:t>
            </w:r>
            <w:r w:rsidRPr="00267743">
              <w:rPr>
                <w:rStyle w:val="Hyperlink"/>
                <w:noProof/>
              </w:rPr>
              <w:t>la</w:t>
            </w:r>
            <w:r w:rsidRPr="00267743">
              <w:rPr>
                <w:rStyle w:val="Hyperlink"/>
                <w:noProof/>
                <w:spacing w:val="41"/>
              </w:rPr>
              <w:t xml:space="preserve"> </w:t>
            </w:r>
            <w:r w:rsidRPr="00267743">
              <w:rPr>
                <w:rStyle w:val="Hyperlink"/>
                <w:noProof/>
                <w:spacing w:val="-2"/>
              </w:rPr>
              <w:t>Solución</w:t>
            </w:r>
            <w:r>
              <w:rPr>
                <w:noProof/>
                <w:webHidden/>
              </w:rPr>
              <w:tab/>
            </w:r>
            <w:r>
              <w:rPr>
                <w:noProof/>
                <w:webHidden/>
              </w:rPr>
              <w:fldChar w:fldCharType="begin"/>
            </w:r>
            <w:r>
              <w:rPr>
                <w:noProof/>
                <w:webHidden/>
              </w:rPr>
              <w:instrText xml:space="preserve"> PAGEREF _Toc241847768 \h </w:instrText>
            </w:r>
            <w:r>
              <w:rPr>
                <w:noProof/>
                <w:webHidden/>
              </w:rPr>
            </w:r>
            <w:r>
              <w:rPr>
                <w:noProof/>
                <w:webHidden/>
              </w:rPr>
              <w:fldChar w:fldCharType="separate"/>
            </w:r>
            <w:r>
              <w:rPr>
                <w:noProof/>
                <w:webHidden/>
              </w:rPr>
              <w:t>4</w:t>
            </w:r>
            <w:r>
              <w:rPr>
                <w:noProof/>
                <w:webHidden/>
              </w:rPr>
              <w:fldChar w:fldCharType="end"/>
            </w:r>
          </w:hyperlink>
        </w:p>
        <w:p w14:paraId="1DCF94F3" w14:textId="6B5E131E" w:rsidR="00EB3C67" w:rsidRDefault="00EB3C67">
          <w:pPr>
            <w:pStyle w:val="TOC2"/>
            <w:tabs>
              <w:tab w:val="left" w:pos="1692"/>
              <w:tab w:val="right" w:leader="dot" w:pos="8920"/>
            </w:tabs>
            <w:rPr>
              <w:rFonts w:asciiTheme="minorHAnsi" w:eastAsiaTheme="minorEastAsia" w:hAnsiTheme="minorHAnsi" w:cstheme="minorBidi"/>
              <w:noProof/>
              <w:kern w:val="2"/>
              <w:sz w:val="24"/>
              <w:szCs w:val="24"/>
              <w:lang w:val="es-AR" w:eastAsia="es-AR"/>
              <w14:ligatures w14:val="standardContextual"/>
            </w:rPr>
          </w:pPr>
          <w:hyperlink w:anchor="_Toc241847769" w:history="1">
            <w:r w:rsidRPr="00267743">
              <w:rPr>
                <w:rStyle w:val="Hyperlink"/>
                <w:noProof/>
                <w:w w:val="116"/>
              </w:rPr>
              <w:t>2.1</w:t>
            </w:r>
            <w:r>
              <w:rPr>
                <w:rFonts w:asciiTheme="minorHAnsi" w:eastAsiaTheme="minorEastAsia" w:hAnsiTheme="minorHAnsi" w:cstheme="minorBidi"/>
                <w:noProof/>
                <w:kern w:val="2"/>
                <w:sz w:val="24"/>
                <w:szCs w:val="24"/>
                <w:lang w:val="es-AR" w:eastAsia="es-AR"/>
                <w14:ligatures w14:val="standardContextual"/>
              </w:rPr>
              <w:tab/>
            </w:r>
            <w:r w:rsidRPr="00267743">
              <w:rPr>
                <w:rStyle w:val="Hyperlink"/>
                <w:noProof/>
                <w:w w:val="105"/>
              </w:rPr>
              <w:t>Resumen</w:t>
            </w:r>
            <w:r w:rsidRPr="00267743">
              <w:rPr>
                <w:rStyle w:val="Hyperlink"/>
                <w:noProof/>
                <w:spacing w:val="34"/>
                <w:w w:val="105"/>
              </w:rPr>
              <w:t xml:space="preserve"> </w:t>
            </w:r>
            <w:r w:rsidRPr="00267743">
              <w:rPr>
                <w:rStyle w:val="Hyperlink"/>
                <w:noProof/>
                <w:w w:val="105"/>
              </w:rPr>
              <w:t>Ejecutivo</w:t>
            </w:r>
            <w:r w:rsidRPr="00267743">
              <w:rPr>
                <w:rStyle w:val="Hyperlink"/>
                <w:noProof/>
                <w:spacing w:val="35"/>
                <w:w w:val="105"/>
              </w:rPr>
              <w:t xml:space="preserve"> </w:t>
            </w:r>
            <w:r w:rsidRPr="00267743">
              <w:rPr>
                <w:rStyle w:val="Hyperlink"/>
                <w:noProof/>
                <w:w w:val="105"/>
              </w:rPr>
              <w:t>de</w:t>
            </w:r>
            <w:r w:rsidRPr="00267743">
              <w:rPr>
                <w:rStyle w:val="Hyperlink"/>
                <w:noProof/>
                <w:spacing w:val="35"/>
                <w:w w:val="105"/>
              </w:rPr>
              <w:t xml:space="preserve"> </w:t>
            </w:r>
            <w:r w:rsidRPr="00267743">
              <w:rPr>
                <w:rStyle w:val="Hyperlink"/>
                <w:noProof/>
                <w:w w:val="105"/>
              </w:rPr>
              <w:t>la</w:t>
            </w:r>
            <w:r w:rsidRPr="00267743">
              <w:rPr>
                <w:rStyle w:val="Hyperlink"/>
                <w:noProof/>
                <w:spacing w:val="35"/>
                <w:w w:val="105"/>
              </w:rPr>
              <w:t xml:space="preserve"> </w:t>
            </w:r>
            <w:r w:rsidRPr="00267743">
              <w:rPr>
                <w:rStyle w:val="Hyperlink"/>
                <w:noProof/>
                <w:spacing w:val="-2"/>
                <w:w w:val="105"/>
              </w:rPr>
              <w:t>Solución</w:t>
            </w:r>
            <w:r>
              <w:rPr>
                <w:noProof/>
                <w:webHidden/>
              </w:rPr>
              <w:tab/>
            </w:r>
            <w:r>
              <w:rPr>
                <w:noProof/>
                <w:webHidden/>
              </w:rPr>
              <w:fldChar w:fldCharType="begin"/>
            </w:r>
            <w:r>
              <w:rPr>
                <w:noProof/>
                <w:webHidden/>
              </w:rPr>
              <w:instrText xml:space="preserve"> PAGEREF _Toc241847769 \h </w:instrText>
            </w:r>
            <w:r>
              <w:rPr>
                <w:noProof/>
                <w:webHidden/>
              </w:rPr>
            </w:r>
            <w:r>
              <w:rPr>
                <w:noProof/>
                <w:webHidden/>
              </w:rPr>
              <w:fldChar w:fldCharType="separate"/>
            </w:r>
            <w:r>
              <w:rPr>
                <w:noProof/>
                <w:webHidden/>
              </w:rPr>
              <w:t>4</w:t>
            </w:r>
            <w:r>
              <w:rPr>
                <w:noProof/>
                <w:webHidden/>
              </w:rPr>
              <w:fldChar w:fldCharType="end"/>
            </w:r>
          </w:hyperlink>
        </w:p>
        <w:p w14:paraId="3F91E054" w14:textId="752A1C36" w:rsidR="00EB3C67" w:rsidRDefault="00EB3C67">
          <w:pPr>
            <w:pStyle w:val="TOC2"/>
            <w:tabs>
              <w:tab w:val="left" w:pos="1692"/>
              <w:tab w:val="right" w:leader="dot" w:pos="8920"/>
            </w:tabs>
            <w:rPr>
              <w:rFonts w:asciiTheme="minorHAnsi" w:eastAsiaTheme="minorEastAsia" w:hAnsiTheme="minorHAnsi" w:cstheme="minorBidi"/>
              <w:noProof/>
              <w:kern w:val="2"/>
              <w:sz w:val="24"/>
              <w:szCs w:val="24"/>
              <w:lang w:val="es-AR" w:eastAsia="es-AR"/>
              <w14:ligatures w14:val="standardContextual"/>
            </w:rPr>
          </w:pPr>
          <w:hyperlink w:anchor="_Toc241847770" w:history="1">
            <w:r w:rsidRPr="00267743">
              <w:rPr>
                <w:rStyle w:val="Hyperlink"/>
                <w:noProof/>
                <w:w w:val="116"/>
              </w:rPr>
              <w:t>2.2</w:t>
            </w:r>
            <w:r>
              <w:rPr>
                <w:rFonts w:asciiTheme="minorHAnsi" w:eastAsiaTheme="minorEastAsia" w:hAnsiTheme="minorHAnsi" w:cstheme="minorBidi"/>
                <w:noProof/>
                <w:kern w:val="2"/>
                <w:sz w:val="24"/>
                <w:szCs w:val="24"/>
                <w:lang w:val="es-AR" w:eastAsia="es-AR"/>
                <w14:ligatures w14:val="standardContextual"/>
              </w:rPr>
              <w:tab/>
            </w:r>
            <w:r w:rsidRPr="00267743">
              <w:rPr>
                <w:rStyle w:val="Hyperlink"/>
                <w:noProof/>
                <w:w w:val="105"/>
              </w:rPr>
              <w:t>Especificaciones</w:t>
            </w:r>
            <w:r w:rsidRPr="00267743">
              <w:rPr>
                <w:rStyle w:val="Hyperlink"/>
                <w:noProof/>
                <w:spacing w:val="9"/>
                <w:w w:val="105"/>
              </w:rPr>
              <w:t xml:space="preserve"> </w:t>
            </w:r>
            <w:r w:rsidRPr="00267743">
              <w:rPr>
                <w:rStyle w:val="Hyperlink"/>
                <w:noProof/>
                <w:spacing w:val="-2"/>
                <w:w w:val="105"/>
              </w:rPr>
              <w:t>Técnicas</w:t>
            </w:r>
            <w:r>
              <w:rPr>
                <w:noProof/>
                <w:webHidden/>
              </w:rPr>
              <w:tab/>
            </w:r>
            <w:r>
              <w:rPr>
                <w:noProof/>
                <w:webHidden/>
              </w:rPr>
              <w:fldChar w:fldCharType="begin"/>
            </w:r>
            <w:r>
              <w:rPr>
                <w:noProof/>
                <w:webHidden/>
              </w:rPr>
              <w:instrText xml:space="preserve"> PAGEREF _Toc241847770 \h </w:instrText>
            </w:r>
            <w:r>
              <w:rPr>
                <w:noProof/>
                <w:webHidden/>
              </w:rPr>
            </w:r>
            <w:r>
              <w:rPr>
                <w:noProof/>
                <w:webHidden/>
              </w:rPr>
              <w:fldChar w:fldCharType="separate"/>
            </w:r>
            <w:r>
              <w:rPr>
                <w:noProof/>
                <w:webHidden/>
              </w:rPr>
              <w:t>4</w:t>
            </w:r>
            <w:r>
              <w:rPr>
                <w:noProof/>
                <w:webHidden/>
              </w:rPr>
              <w:fldChar w:fldCharType="end"/>
            </w:r>
          </w:hyperlink>
        </w:p>
        <w:p w14:paraId="5A57DD3E" w14:textId="07E82FE9" w:rsidR="00EB3C67" w:rsidRDefault="00EB3C67">
          <w:pPr>
            <w:pStyle w:val="TOC3"/>
            <w:tabs>
              <w:tab w:val="left" w:pos="1692"/>
              <w:tab w:val="right" w:leader="dot" w:pos="8920"/>
            </w:tabs>
            <w:rPr>
              <w:rFonts w:asciiTheme="minorHAnsi" w:eastAsiaTheme="minorEastAsia" w:hAnsiTheme="minorHAnsi" w:cstheme="minorBidi"/>
              <w:noProof/>
              <w:kern w:val="2"/>
              <w:sz w:val="24"/>
              <w:szCs w:val="24"/>
              <w:lang w:val="es-AR" w:eastAsia="es-AR"/>
              <w14:ligatures w14:val="standardContextual"/>
            </w:rPr>
          </w:pPr>
          <w:hyperlink w:anchor="_Toc241847771" w:history="1">
            <w:r w:rsidRPr="00267743">
              <w:rPr>
                <w:rStyle w:val="Hyperlink"/>
                <w:noProof/>
                <w:w w:val="102"/>
              </w:rPr>
              <w:t>2.2.1</w:t>
            </w:r>
            <w:r>
              <w:rPr>
                <w:rFonts w:asciiTheme="minorHAnsi" w:eastAsiaTheme="minorEastAsia" w:hAnsiTheme="minorHAnsi" w:cstheme="minorBidi"/>
                <w:noProof/>
                <w:kern w:val="2"/>
                <w:sz w:val="24"/>
                <w:szCs w:val="24"/>
                <w:lang w:val="es-AR" w:eastAsia="es-AR"/>
                <w14:ligatures w14:val="standardContextual"/>
              </w:rPr>
              <w:tab/>
            </w:r>
            <w:r w:rsidRPr="00267743">
              <w:rPr>
                <w:rStyle w:val="Hyperlink"/>
                <w:noProof/>
              </w:rPr>
              <w:t>Datos y hallazgos que cambian el problema</w:t>
            </w:r>
            <w:r>
              <w:rPr>
                <w:noProof/>
                <w:webHidden/>
              </w:rPr>
              <w:tab/>
            </w:r>
            <w:r>
              <w:rPr>
                <w:noProof/>
                <w:webHidden/>
              </w:rPr>
              <w:fldChar w:fldCharType="begin"/>
            </w:r>
            <w:r>
              <w:rPr>
                <w:noProof/>
                <w:webHidden/>
              </w:rPr>
              <w:instrText xml:space="preserve"> PAGEREF _Toc241847771 \h </w:instrText>
            </w:r>
            <w:r>
              <w:rPr>
                <w:noProof/>
                <w:webHidden/>
              </w:rPr>
            </w:r>
            <w:r>
              <w:rPr>
                <w:noProof/>
                <w:webHidden/>
              </w:rPr>
              <w:fldChar w:fldCharType="separate"/>
            </w:r>
            <w:r>
              <w:rPr>
                <w:noProof/>
                <w:webHidden/>
              </w:rPr>
              <w:t>4</w:t>
            </w:r>
            <w:r>
              <w:rPr>
                <w:noProof/>
                <w:webHidden/>
              </w:rPr>
              <w:fldChar w:fldCharType="end"/>
            </w:r>
          </w:hyperlink>
        </w:p>
        <w:p w14:paraId="77CF6E7C" w14:textId="3DBAC4F8" w:rsidR="00EB3C67" w:rsidRDefault="00EB3C67">
          <w:pPr>
            <w:pStyle w:val="TOC3"/>
            <w:tabs>
              <w:tab w:val="left" w:pos="1692"/>
              <w:tab w:val="right" w:leader="dot" w:pos="8920"/>
            </w:tabs>
            <w:rPr>
              <w:rFonts w:asciiTheme="minorHAnsi" w:eastAsiaTheme="minorEastAsia" w:hAnsiTheme="minorHAnsi" w:cstheme="minorBidi"/>
              <w:noProof/>
              <w:kern w:val="2"/>
              <w:sz w:val="24"/>
              <w:szCs w:val="24"/>
              <w:lang w:val="es-AR" w:eastAsia="es-AR"/>
              <w14:ligatures w14:val="standardContextual"/>
            </w:rPr>
          </w:pPr>
          <w:hyperlink w:anchor="_Toc241847772" w:history="1">
            <w:r w:rsidRPr="00267743">
              <w:rPr>
                <w:rStyle w:val="Hyperlink"/>
                <w:noProof/>
                <w:w w:val="102"/>
              </w:rPr>
              <w:t>2.2.2</w:t>
            </w:r>
            <w:r>
              <w:rPr>
                <w:rFonts w:asciiTheme="minorHAnsi" w:eastAsiaTheme="minorEastAsia" w:hAnsiTheme="minorHAnsi" w:cstheme="minorBidi"/>
                <w:noProof/>
                <w:kern w:val="2"/>
                <w:sz w:val="24"/>
                <w:szCs w:val="24"/>
                <w:lang w:val="es-AR" w:eastAsia="es-AR"/>
                <w14:ligatures w14:val="standardContextual"/>
              </w:rPr>
              <w:tab/>
            </w:r>
            <w:r w:rsidRPr="00267743">
              <w:rPr>
                <w:rStyle w:val="Hyperlink"/>
                <w:noProof/>
              </w:rPr>
              <w:t>Población, ventana y target</w:t>
            </w:r>
            <w:r>
              <w:rPr>
                <w:noProof/>
                <w:webHidden/>
              </w:rPr>
              <w:tab/>
            </w:r>
            <w:r>
              <w:rPr>
                <w:noProof/>
                <w:webHidden/>
              </w:rPr>
              <w:fldChar w:fldCharType="begin"/>
            </w:r>
            <w:r>
              <w:rPr>
                <w:noProof/>
                <w:webHidden/>
              </w:rPr>
              <w:instrText xml:space="preserve"> PAGEREF _Toc241847772 \h </w:instrText>
            </w:r>
            <w:r>
              <w:rPr>
                <w:noProof/>
                <w:webHidden/>
              </w:rPr>
            </w:r>
            <w:r>
              <w:rPr>
                <w:noProof/>
                <w:webHidden/>
              </w:rPr>
              <w:fldChar w:fldCharType="separate"/>
            </w:r>
            <w:r>
              <w:rPr>
                <w:noProof/>
                <w:webHidden/>
              </w:rPr>
              <w:t>5</w:t>
            </w:r>
            <w:r>
              <w:rPr>
                <w:noProof/>
                <w:webHidden/>
              </w:rPr>
              <w:fldChar w:fldCharType="end"/>
            </w:r>
          </w:hyperlink>
        </w:p>
        <w:p w14:paraId="6BCE7884" w14:textId="7E4B2752" w:rsidR="00EB3C67" w:rsidRDefault="00EB3C67">
          <w:pPr>
            <w:pStyle w:val="TOC3"/>
            <w:tabs>
              <w:tab w:val="left" w:pos="1692"/>
              <w:tab w:val="right" w:leader="dot" w:pos="8920"/>
            </w:tabs>
            <w:rPr>
              <w:rFonts w:asciiTheme="minorHAnsi" w:eastAsiaTheme="minorEastAsia" w:hAnsiTheme="minorHAnsi" w:cstheme="minorBidi"/>
              <w:noProof/>
              <w:kern w:val="2"/>
              <w:sz w:val="24"/>
              <w:szCs w:val="24"/>
              <w:lang w:val="es-AR" w:eastAsia="es-AR"/>
              <w14:ligatures w14:val="standardContextual"/>
            </w:rPr>
          </w:pPr>
          <w:hyperlink w:anchor="_Toc241847773" w:history="1">
            <w:r w:rsidRPr="00267743">
              <w:rPr>
                <w:rStyle w:val="Hyperlink"/>
                <w:noProof/>
                <w:w w:val="102"/>
              </w:rPr>
              <w:t>2.2.3</w:t>
            </w:r>
            <w:r>
              <w:rPr>
                <w:rFonts w:asciiTheme="minorHAnsi" w:eastAsiaTheme="minorEastAsia" w:hAnsiTheme="minorHAnsi" w:cstheme="minorBidi"/>
                <w:noProof/>
                <w:kern w:val="2"/>
                <w:sz w:val="24"/>
                <w:szCs w:val="24"/>
                <w:lang w:val="es-AR" w:eastAsia="es-AR"/>
                <w14:ligatures w14:val="standardContextual"/>
              </w:rPr>
              <w:tab/>
            </w:r>
            <w:r w:rsidRPr="00267743">
              <w:rPr>
                <w:rStyle w:val="Hyperlink"/>
                <w:noProof/>
              </w:rPr>
              <w:t>Features y seguridad temporal</w:t>
            </w:r>
            <w:r>
              <w:rPr>
                <w:noProof/>
                <w:webHidden/>
              </w:rPr>
              <w:tab/>
            </w:r>
            <w:r>
              <w:rPr>
                <w:noProof/>
                <w:webHidden/>
              </w:rPr>
              <w:fldChar w:fldCharType="begin"/>
            </w:r>
            <w:r>
              <w:rPr>
                <w:noProof/>
                <w:webHidden/>
              </w:rPr>
              <w:instrText xml:space="preserve"> PAGEREF _Toc241847773 \h </w:instrText>
            </w:r>
            <w:r>
              <w:rPr>
                <w:noProof/>
                <w:webHidden/>
              </w:rPr>
            </w:r>
            <w:r>
              <w:rPr>
                <w:noProof/>
                <w:webHidden/>
              </w:rPr>
              <w:fldChar w:fldCharType="separate"/>
            </w:r>
            <w:r>
              <w:rPr>
                <w:noProof/>
                <w:webHidden/>
              </w:rPr>
              <w:t>5</w:t>
            </w:r>
            <w:r>
              <w:rPr>
                <w:noProof/>
                <w:webHidden/>
              </w:rPr>
              <w:fldChar w:fldCharType="end"/>
            </w:r>
          </w:hyperlink>
        </w:p>
        <w:p w14:paraId="6AF24853" w14:textId="72E53BEE" w:rsidR="00EB3C67" w:rsidRDefault="00EB3C67">
          <w:pPr>
            <w:pStyle w:val="TOC3"/>
            <w:tabs>
              <w:tab w:val="left" w:pos="1692"/>
              <w:tab w:val="right" w:leader="dot" w:pos="8920"/>
            </w:tabs>
            <w:rPr>
              <w:rFonts w:asciiTheme="minorHAnsi" w:eastAsiaTheme="minorEastAsia" w:hAnsiTheme="minorHAnsi" w:cstheme="minorBidi"/>
              <w:noProof/>
              <w:kern w:val="2"/>
              <w:sz w:val="24"/>
              <w:szCs w:val="24"/>
              <w:lang w:val="es-AR" w:eastAsia="es-AR"/>
              <w14:ligatures w14:val="standardContextual"/>
            </w:rPr>
          </w:pPr>
          <w:hyperlink w:anchor="_Toc241847774" w:history="1">
            <w:r w:rsidRPr="00267743">
              <w:rPr>
                <w:rStyle w:val="Hyperlink"/>
                <w:noProof/>
                <w:w w:val="102"/>
              </w:rPr>
              <w:t>2.2.4</w:t>
            </w:r>
            <w:r>
              <w:rPr>
                <w:rFonts w:asciiTheme="minorHAnsi" w:eastAsiaTheme="minorEastAsia" w:hAnsiTheme="minorHAnsi" w:cstheme="minorBidi"/>
                <w:noProof/>
                <w:kern w:val="2"/>
                <w:sz w:val="24"/>
                <w:szCs w:val="24"/>
                <w:lang w:val="es-AR" w:eastAsia="es-AR"/>
                <w14:ligatures w14:val="standardContextual"/>
              </w:rPr>
              <w:tab/>
            </w:r>
            <w:r w:rsidRPr="00267743">
              <w:rPr>
                <w:rStyle w:val="Hyperlink"/>
                <w:noProof/>
              </w:rPr>
              <w:t>Modelo, validación temporal y calibración</w:t>
            </w:r>
            <w:r>
              <w:rPr>
                <w:noProof/>
                <w:webHidden/>
              </w:rPr>
              <w:tab/>
            </w:r>
            <w:r>
              <w:rPr>
                <w:noProof/>
                <w:webHidden/>
              </w:rPr>
              <w:fldChar w:fldCharType="begin"/>
            </w:r>
            <w:r>
              <w:rPr>
                <w:noProof/>
                <w:webHidden/>
              </w:rPr>
              <w:instrText xml:space="preserve"> PAGEREF _Toc241847774 \h </w:instrText>
            </w:r>
            <w:r>
              <w:rPr>
                <w:noProof/>
                <w:webHidden/>
              </w:rPr>
            </w:r>
            <w:r>
              <w:rPr>
                <w:noProof/>
                <w:webHidden/>
              </w:rPr>
              <w:fldChar w:fldCharType="separate"/>
            </w:r>
            <w:r>
              <w:rPr>
                <w:noProof/>
                <w:webHidden/>
              </w:rPr>
              <w:t>6</w:t>
            </w:r>
            <w:r>
              <w:rPr>
                <w:noProof/>
                <w:webHidden/>
              </w:rPr>
              <w:fldChar w:fldCharType="end"/>
            </w:r>
          </w:hyperlink>
        </w:p>
        <w:p w14:paraId="6BCD9967" w14:textId="2B66CE45" w:rsidR="00EB3C67" w:rsidRDefault="00EB3C67">
          <w:pPr>
            <w:pStyle w:val="TOC3"/>
            <w:tabs>
              <w:tab w:val="left" w:pos="1692"/>
              <w:tab w:val="right" w:leader="dot" w:pos="8920"/>
            </w:tabs>
            <w:rPr>
              <w:rFonts w:asciiTheme="minorHAnsi" w:eastAsiaTheme="minorEastAsia" w:hAnsiTheme="minorHAnsi" w:cstheme="minorBidi"/>
              <w:noProof/>
              <w:kern w:val="2"/>
              <w:sz w:val="24"/>
              <w:szCs w:val="24"/>
              <w:lang w:val="es-AR" w:eastAsia="es-AR"/>
              <w14:ligatures w14:val="standardContextual"/>
            </w:rPr>
          </w:pPr>
          <w:hyperlink w:anchor="_Toc241847775" w:history="1">
            <w:r w:rsidRPr="00267743">
              <w:rPr>
                <w:rStyle w:val="Hyperlink"/>
                <w:noProof/>
                <w:w w:val="102"/>
              </w:rPr>
              <w:t>2.2.5</w:t>
            </w:r>
            <w:r>
              <w:rPr>
                <w:rFonts w:asciiTheme="minorHAnsi" w:eastAsiaTheme="minorEastAsia" w:hAnsiTheme="minorHAnsi" w:cstheme="minorBidi"/>
                <w:noProof/>
                <w:kern w:val="2"/>
                <w:sz w:val="24"/>
                <w:szCs w:val="24"/>
                <w:lang w:val="es-AR" w:eastAsia="es-AR"/>
                <w14:ligatures w14:val="standardContextual"/>
              </w:rPr>
              <w:tab/>
            </w:r>
            <w:r w:rsidRPr="00267743">
              <w:rPr>
                <w:rStyle w:val="Hyperlink"/>
                <w:noProof/>
              </w:rPr>
              <w:t>Qué explica el riesgo</w:t>
            </w:r>
            <w:r>
              <w:rPr>
                <w:noProof/>
                <w:webHidden/>
              </w:rPr>
              <w:tab/>
            </w:r>
            <w:r>
              <w:rPr>
                <w:noProof/>
                <w:webHidden/>
              </w:rPr>
              <w:fldChar w:fldCharType="begin"/>
            </w:r>
            <w:r>
              <w:rPr>
                <w:noProof/>
                <w:webHidden/>
              </w:rPr>
              <w:instrText xml:space="preserve"> PAGEREF _Toc241847775 \h </w:instrText>
            </w:r>
            <w:r>
              <w:rPr>
                <w:noProof/>
                <w:webHidden/>
              </w:rPr>
            </w:r>
            <w:r>
              <w:rPr>
                <w:noProof/>
                <w:webHidden/>
              </w:rPr>
              <w:fldChar w:fldCharType="separate"/>
            </w:r>
            <w:r>
              <w:rPr>
                <w:noProof/>
                <w:webHidden/>
              </w:rPr>
              <w:t>7</w:t>
            </w:r>
            <w:r>
              <w:rPr>
                <w:noProof/>
                <w:webHidden/>
              </w:rPr>
              <w:fldChar w:fldCharType="end"/>
            </w:r>
          </w:hyperlink>
        </w:p>
        <w:p w14:paraId="4982EAFF" w14:textId="0C90063A" w:rsidR="00EB3C67" w:rsidRDefault="00EB3C67">
          <w:pPr>
            <w:pStyle w:val="TOC3"/>
            <w:tabs>
              <w:tab w:val="left" w:pos="1692"/>
              <w:tab w:val="right" w:leader="dot" w:pos="8920"/>
            </w:tabs>
            <w:rPr>
              <w:rFonts w:asciiTheme="minorHAnsi" w:eastAsiaTheme="minorEastAsia" w:hAnsiTheme="minorHAnsi" w:cstheme="minorBidi"/>
              <w:noProof/>
              <w:kern w:val="2"/>
              <w:sz w:val="24"/>
              <w:szCs w:val="24"/>
              <w:lang w:val="es-AR" w:eastAsia="es-AR"/>
              <w14:ligatures w14:val="standardContextual"/>
            </w:rPr>
          </w:pPr>
          <w:hyperlink w:anchor="_Toc241847776" w:history="1">
            <w:r w:rsidRPr="00267743">
              <w:rPr>
                <w:rStyle w:val="Hyperlink"/>
                <w:noProof/>
                <w:w w:val="102"/>
              </w:rPr>
              <w:t>2.2.6</w:t>
            </w:r>
            <w:r>
              <w:rPr>
                <w:rFonts w:asciiTheme="minorHAnsi" w:eastAsiaTheme="minorEastAsia" w:hAnsiTheme="minorHAnsi" w:cstheme="minorBidi"/>
                <w:noProof/>
                <w:kern w:val="2"/>
                <w:sz w:val="24"/>
                <w:szCs w:val="24"/>
                <w:lang w:val="es-AR" w:eastAsia="es-AR"/>
                <w14:ligatures w14:val="standardContextual"/>
              </w:rPr>
              <w:tab/>
            </w:r>
            <w:r w:rsidRPr="00267743">
              <w:rPr>
                <w:rStyle w:val="Hyperlink"/>
                <w:noProof/>
              </w:rPr>
              <w:t>Segmentos accionables, activación e integración</w:t>
            </w:r>
            <w:r>
              <w:rPr>
                <w:noProof/>
                <w:webHidden/>
              </w:rPr>
              <w:tab/>
            </w:r>
            <w:r>
              <w:rPr>
                <w:noProof/>
                <w:webHidden/>
              </w:rPr>
              <w:fldChar w:fldCharType="begin"/>
            </w:r>
            <w:r>
              <w:rPr>
                <w:noProof/>
                <w:webHidden/>
              </w:rPr>
              <w:instrText xml:space="preserve"> PAGEREF _Toc241847776 \h </w:instrText>
            </w:r>
            <w:r>
              <w:rPr>
                <w:noProof/>
                <w:webHidden/>
              </w:rPr>
            </w:r>
            <w:r>
              <w:rPr>
                <w:noProof/>
                <w:webHidden/>
              </w:rPr>
              <w:fldChar w:fldCharType="separate"/>
            </w:r>
            <w:r>
              <w:rPr>
                <w:noProof/>
                <w:webHidden/>
              </w:rPr>
              <w:t>7</w:t>
            </w:r>
            <w:r>
              <w:rPr>
                <w:noProof/>
                <w:webHidden/>
              </w:rPr>
              <w:fldChar w:fldCharType="end"/>
            </w:r>
          </w:hyperlink>
        </w:p>
        <w:p w14:paraId="3E7E05BD" w14:textId="4CDF9866" w:rsidR="00EB3C67" w:rsidRDefault="00EB3C67">
          <w:pPr>
            <w:pStyle w:val="TOC3"/>
            <w:tabs>
              <w:tab w:val="left" w:pos="1692"/>
              <w:tab w:val="right" w:leader="dot" w:pos="8920"/>
            </w:tabs>
            <w:rPr>
              <w:rFonts w:asciiTheme="minorHAnsi" w:eastAsiaTheme="minorEastAsia" w:hAnsiTheme="minorHAnsi" w:cstheme="minorBidi"/>
              <w:noProof/>
              <w:kern w:val="2"/>
              <w:sz w:val="24"/>
              <w:szCs w:val="24"/>
              <w:lang w:val="es-AR" w:eastAsia="es-AR"/>
              <w14:ligatures w14:val="standardContextual"/>
            </w:rPr>
          </w:pPr>
          <w:hyperlink w:anchor="_Toc241847777" w:history="1">
            <w:r w:rsidRPr="00267743">
              <w:rPr>
                <w:rStyle w:val="Hyperlink"/>
                <w:noProof/>
                <w:w w:val="102"/>
              </w:rPr>
              <w:t>2.2.7</w:t>
            </w:r>
            <w:r>
              <w:rPr>
                <w:rFonts w:asciiTheme="minorHAnsi" w:eastAsiaTheme="minorEastAsia" w:hAnsiTheme="minorHAnsi" w:cstheme="minorBidi"/>
                <w:noProof/>
                <w:kern w:val="2"/>
                <w:sz w:val="24"/>
                <w:szCs w:val="24"/>
                <w:lang w:val="es-AR" w:eastAsia="es-AR"/>
                <w14:ligatures w14:val="standardContextual"/>
              </w:rPr>
              <w:tab/>
            </w:r>
            <w:r w:rsidRPr="00267743">
              <w:rPr>
                <w:rStyle w:val="Hyperlink"/>
                <w:noProof/>
              </w:rPr>
              <w:t>Segundo análisis de prioridad de contacto</w:t>
            </w:r>
            <w:r>
              <w:rPr>
                <w:noProof/>
                <w:webHidden/>
              </w:rPr>
              <w:tab/>
            </w:r>
            <w:r>
              <w:rPr>
                <w:noProof/>
                <w:webHidden/>
              </w:rPr>
              <w:fldChar w:fldCharType="begin"/>
            </w:r>
            <w:r>
              <w:rPr>
                <w:noProof/>
                <w:webHidden/>
              </w:rPr>
              <w:instrText xml:space="preserve"> PAGEREF _Toc241847777 \h </w:instrText>
            </w:r>
            <w:r>
              <w:rPr>
                <w:noProof/>
                <w:webHidden/>
              </w:rPr>
            </w:r>
            <w:r>
              <w:rPr>
                <w:noProof/>
                <w:webHidden/>
              </w:rPr>
              <w:fldChar w:fldCharType="separate"/>
            </w:r>
            <w:r>
              <w:rPr>
                <w:noProof/>
                <w:webHidden/>
              </w:rPr>
              <w:t>8</w:t>
            </w:r>
            <w:r>
              <w:rPr>
                <w:noProof/>
                <w:webHidden/>
              </w:rPr>
              <w:fldChar w:fldCharType="end"/>
            </w:r>
          </w:hyperlink>
        </w:p>
        <w:p w14:paraId="03AEF9FB" w14:textId="77FD7793" w:rsidR="00EB3C67" w:rsidRDefault="00EB3C67">
          <w:pPr>
            <w:pStyle w:val="TOC3"/>
            <w:tabs>
              <w:tab w:val="left" w:pos="1692"/>
              <w:tab w:val="right" w:leader="dot" w:pos="8920"/>
            </w:tabs>
            <w:rPr>
              <w:rFonts w:asciiTheme="minorHAnsi" w:eastAsiaTheme="minorEastAsia" w:hAnsiTheme="minorHAnsi" w:cstheme="minorBidi"/>
              <w:noProof/>
              <w:kern w:val="2"/>
              <w:sz w:val="24"/>
              <w:szCs w:val="24"/>
              <w:lang w:val="es-AR" w:eastAsia="es-AR"/>
              <w14:ligatures w14:val="standardContextual"/>
            </w:rPr>
          </w:pPr>
          <w:hyperlink w:anchor="_Toc241847778" w:history="1">
            <w:r w:rsidRPr="00267743">
              <w:rPr>
                <w:rStyle w:val="Hyperlink"/>
                <w:noProof/>
                <w:w w:val="102"/>
              </w:rPr>
              <w:t>2.2.8</w:t>
            </w:r>
            <w:r>
              <w:rPr>
                <w:rFonts w:asciiTheme="minorHAnsi" w:eastAsiaTheme="minorEastAsia" w:hAnsiTheme="minorHAnsi" w:cstheme="minorBidi"/>
                <w:noProof/>
                <w:kern w:val="2"/>
                <w:sz w:val="24"/>
                <w:szCs w:val="24"/>
                <w:lang w:val="es-AR" w:eastAsia="es-AR"/>
                <w14:ligatures w14:val="standardContextual"/>
              </w:rPr>
              <w:tab/>
            </w:r>
            <w:r w:rsidRPr="00267743">
              <w:rPr>
                <w:rStyle w:val="Hyperlink"/>
                <w:noProof/>
              </w:rPr>
              <w:t>Recompra observable: evidencia complementaria</w:t>
            </w:r>
            <w:r>
              <w:rPr>
                <w:noProof/>
                <w:webHidden/>
              </w:rPr>
              <w:tab/>
            </w:r>
            <w:r>
              <w:rPr>
                <w:noProof/>
                <w:webHidden/>
              </w:rPr>
              <w:fldChar w:fldCharType="begin"/>
            </w:r>
            <w:r>
              <w:rPr>
                <w:noProof/>
                <w:webHidden/>
              </w:rPr>
              <w:instrText xml:space="preserve"> PAGEREF _Toc241847778 \h </w:instrText>
            </w:r>
            <w:r>
              <w:rPr>
                <w:noProof/>
                <w:webHidden/>
              </w:rPr>
            </w:r>
            <w:r>
              <w:rPr>
                <w:noProof/>
                <w:webHidden/>
              </w:rPr>
              <w:fldChar w:fldCharType="separate"/>
            </w:r>
            <w:r>
              <w:rPr>
                <w:noProof/>
                <w:webHidden/>
              </w:rPr>
              <w:t>8</w:t>
            </w:r>
            <w:r>
              <w:rPr>
                <w:noProof/>
                <w:webHidden/>
              </w:rPr>
              <w:fldChar w:fldCharType="end"/>
            </w:r>
          </w:hyperlink>
        </w:p>
        <w:p w14:paraId="6AB8CF3F" w14:textId="4B2C55D0" w:rsidR="00EB3C67" w:rsidRDefault="00EB3C67">
          <w:pPr>
            <w:pStyle w:val="TOC3"/>
            <w:tabs>
              <w:tab w:val="left" w:pos="1692"/>
              <w:tab w:val="right" w:leader="dot" w:pos="8920"/>
            </w:tabs>
            <w:rPr>
              <w:rFonts w:asciiTheme="minorHAnsi" w:eastAsiaTheme="minorEastAsia" w:hAnsiTheme="minorHAnsi" w:cstheme="minorBidi"/>
              <w:noProof/>
              <w:kern w:val="2"/>
              <w:sz w:val="24"/>
              <w:szCs w:val="24"/>
              <w:lang w:val="es-AR" w:eastAsia="es-AR"/>
              <w14:ligatures w14:val="standardContextual"/>
            </w:rPr>
          </w:pPr>
          <w:hyperlink w:anchor="_Toc241847779" w:history="1">
            <w:r w:rsidRPr="00267743">
              <w:rPr>
                <w:rStyle w:val="Hyperlink"/>
                <w:noProof/>
                <w:w w:val="102"/>
              </w:rPr>
              <w:t>2.2.9</w:t>
            </w:r>
            <w:r>
              <w:rPr>
                <w:rFonts w:asciiTheme="minorHAnsi" w:eastAsiaTheme="minorEastAsia" w:hAnsiTheme="minorHAnsi" w:cstheme="minorBidi"/>
                <w:noProof/>
                <w:kern w:val="2"/>
                <w:sz w:val="24"/>
                <w:szCs w:val="24"/>
                <w:lang w:val="es-AR" w:eastAsia="es-AR"/>
                <w14:ligatures w14:val="standardContextual"/>
              </w:rPr>
              <w:tab/>
            </w:r>
            <w:r w:rsidRPr="00267743">
              <w:rPr>
                <w:rStyle w:val="Hyperlink"/>
                <w:noProof/>
              </w:rPr>
              <w:t>Reproducibilidad</w:t>
            </w:r>
            <w:r>
              <w:rPr>
                <w:noProof/>
                <w:webHidden/>
              </w:rPr>
              <w:tab/>
            </w:r>
            <w:r>
              <w:rPr>
                <w:noProof/>
                <w:webHidden/>
              </w:rPr>
              <w:fldChar w:fldCharType="begin"/>
            </w:r>
            <w:r>
              <w:rPr>
                <w:noProof/>
                <w:webHidden/>
              </w:rPr>
              <w:instrText xml:space="preserve"> PAGEREF _Toc241847779 \h </w:instrText>
            </w:r>
            <w:r>
              <w:rPr>
                <w:noProof/>
                <w:webHidden/>
              </w:rPr>
            </w:r>
            <w:r>
              <w:rPr>
                <w:noProof/>
                <w:webHidden/>
              </w:rPr>
              <w:fldChar w:fldCharType="separate"/>
            </w:r>
            <w:r>
              <w:rPr>
                <w:noProof/>
                <w:webHidden/>
              </w:rPr>
              <w:t>9</w:t>
            </w:r>
            <w:r>
              <w:rPr>
                <w:noProof/>
                <w:webHidden/>
              </w:rPr>
              <w:fldChar w:fldCharType="end"/>
            </w:r>
          </w:hyperlink>
        </w:p>
        <w:p w14:paraId="4EF3A583" w14:textId="31A0C9F9" w:rsidR="00EB3C67" w:rsidRDefault="00EB3C67">
          <w:pPr>
            <w:pStyle w:val="TOC3"/>
            <w:tabs>
              <w:tab w:val="left" w:pos="1920"/>
              <w:tab w:val="right" w:leader="dot" w:pos="8920"/>
            </w:tabs>
            <w:rPr>
              <w:rFonts w:asciiTheme="minorHAnsi" w:eastAsiaTheme="minorEastAsia" w:hAnsiTheme="minorHAnsi" w:cstheme="minorBidi"/>
              <w:noProof/>
              <w:kern w:val="2"/>
              <w:sz w:val="24"/>
              <w:szCs w:val="24"/>
              <w:lang w:val="es-AR" w:eastAsia="es-AR"/>
              <w14:ligatures w14:val="standardContextual"/>
            </w:rPr>
          </w:pPr>
          <w:hyperlink w:anchor="_Toc241847780" w:history="1">
            <w:r w:rsidRPr="00267743">
              <w:rPr>
                <w:rStyle w:val="Hyperlink"/>
                <w:noProof/>
                <w:w w:val="102"/>
              </w:rPr>
              <w:t>2.2.10</w:t>
            </w:r>
            <w:r>
              <w:rPr>
                <w:rFonts w:asciiTheme="minorHAnsi" w:eastAsiaTheme="minorEastAsia" w:hAnsiTheme="minorHAnsi" w:cstheme="minorBidi"/>
                <w:noProof/>
                <w:kern w:val="2"/>
                <w:sz w:val="24"/>
                <w:szCs w:val="24"/>
                <w:lang w:val="es-AR" w:eastAsia="es-AR"/>
                <w14:ligatures w14:val="standardContextual"/>
              </w:rPr>
              <w:tab/>
            </w:r>
            <w:r w:rsidRPr="00267743">
              <w:rPr>
                <w:rStyle w:val="Hyperlink"/>
                <w:noProof/>
              </w:rPr>
              <w:t>Aplicación de uso y seguimiento</w:t>
            </w:r>
            <w:r>
              <w:rPr>
                <w:noProof/>
                <w:webHidden/>
              </w:rPr>
              <w:tab/>
            </w:r>
            <w:r>
              <w:rPr>
                <w:noProof/>
                <w:webHidden/>
              </w:rPr>
              <w:fldChar w:fldCharType="begin"/>
            </w:r>
            <w:r>
              <w:rPr>
                <w:noProof/>
                <w:webHidden/>
              </w:rPr>
              <w:instrText xml:space="preserve"> PAGEREF _Toc241847780 \h </w:instrText>
            </w:r>
            <w:r>
              <w:rPr>
                <w:noProof/>
                <w:webHidden/>
              </w:rPr>
            </w:r>
            <w:r>
              <w:rPr>
                <w:noProof/>
                <w:webHidden/>
              </w:rPr>
              <w:fldChar w:fldCharType="separate"/>
            </w:r>
            <w:r>
              <w:rPr>
                <w:noProof/>
                <w:webHidden/>
              </w:rPr>
              <w:t>9</w:t>
            </w:r>
            <w:r>
              <w:rPr>
                <w:noProof/>
                <w:webHidden/>
              </w:rPr>
              <w:fldChar w:fldCharType="end"/>
            </w:r>
          </w:hyperlink>
        </w:p>
        <w:p w14:paraId="74217591" w14:textId="121BFDAE" w:rsidR="00EB3C67" w:rsidRDefault="00EB3C67">
          <w:pPr>
            <w:pStyle w:val="TOC3"/>
            <w:tabs>
              <w:tab w:val="left" w:pos="1920"/>
              <w:tab w:val="right" w:leader="dot" w:pos="8920"/>
            </w:tabs>
            <w:rPr>
              <w:rFonts w:asciiTheme="minorHAnsi" w:eastAsiaTheme="minorEastAsia" w:hAnsiTheme="minorHAnsi" w:cstheme="minorBidi"/>
              <w:noProof/>
              <w:kern w:val="2"/>
              <w:sz w:val="24"/>
              <w:szCs w:val="24"/>
              <w:lang w:val="es-AR" w:eastAsia="es-AR"/>
              <w14:ligatures w14:val="standardContextual"/>
            </w:rPr>
          </w:pPr>
          <w:hyperlink w:anchor="_Toc241847781" w:history="1">
            <w:r w:rsidRPr="00267743">
              <w:rPr>
                <w:rStyle w:val="Hyperlink"/>
                <w:noProof/>
                <w:w w:val="102"/>
              </w:rPr>
              <w:t>2.2.11</w:t>
            </w:r>
            <w:r>
              <w:rPr>
                <w:rFonts w:asciiTheme="minorHAnsi" w:eastAsiaTheme="minorEastAsia" w:hAnsiTheme="minorHAnsi" w:cstheme="minorBidi"/>
                <w:noProof/>
                <w:kern w:val="2"/>
                <w:sz w:val="24"/>
                <w:szCs w:val="24"/>
                <w:lang w:val="es-AR" w:eastAsia="es-AR"/>
                <w14:ligatures w14:val="standardContextual"/>
              </w:rPr>
              <w:tab/>
            </w:r>
            <w:r w:rsidRPr="00267743">
              <w:rPr>
                <w:rStyle w:val="Hyperlink"/>
                <w:noProof/>
                <w:spacing w:val="-7"/>
              </w:rPr>
              <w:t>Información</w:t>
            </w:r>
            <w:r w:rsidRPr="00267743">
              <w:rPr>
                <w:rStyle w:val="Hyperlink"/>
                <w:noProof/>
                <w:spacing w:val="23"/>
              </w:rPr>
              <w:t xml:space="preserve"> </w:t>
            </w:r>
            <w:r w:rsidRPr="00267743">
              <w:rPr>
                <w:rStyle w:val="Hyperlink"/>
                <w:noProof/>
                <w:spacing w:val="-2"/>
              </w:rPr>
              <w:t>Complementaria</w:t>
            </w:r>
            <w:r>
              <w:rPr>
                <w:noProof/>
                <w:webHidden/>
              </w:rPr>
              <w:tab/>
            </w:r>
            <w:r>
              <w:rPr>
                <w:noProof/>
                <w:webHidden/>
              </w:rPr>
              <w:fldChar w:fldCharType="begin"/>
            </w:r>
            <w:r>
              <w:rPr>
                <w:noProof/>
                <w:webHidden/>
              </w:rPr>
              <w:instrText xml:space="preserve"> PAGEREF _Toc241847781 \h </w:instrText>
            </w:r>
            <w:r>
              <w:rPr>
                <w:noProof/>
                <w:webHidden/>
              </w:rPr>
            </w:r>
            <w:r>
              <w:rPr>
                <w:noProof/>
                <w:webHidden/>
              </w:rPr>
              <w:fldChar w:fldCharType="separate"/>
            </w:r>
            <w:r>
              <w:rPr>
                <w:noProof/>
                <w:webHidden/>
              </w:rPr>
              <w:t>9</w:t>
            </w:r>
            <w:r>
              <w:rPr>
                <w:noProof/>
                <w:webHidden/>
              </w:rPr>
              <w:fldChar w:fldCharType="end"/>
            </w:r>
          </w:hyperlink>
        </w:p>
        <w:p w14:paraId="42A839DB" w14:textId="5F6C4436" w:rsidR="00EB3C67" w:rsidRDefault="00EB3C67">
          <w:pPr>
            <w:pStyle w:val="TOC2"/>
            <w:tabs>
              <w:tab w:val="left" w:pos="1692"/>
              <w:tab w:val="right" w:leader="dot" w:pos="8920"/>
            </w:tabs>
            <w:rPr>
              <w:rFonts w:asciiTheme="minorHAnsi" w:eastAsiaTheme="minorEastAsia" w:hAnsiTheme="minorHAnsi" w:cstheme="minorBidi"/>
              <w:noProof/>
              <w:kern w:val="2"/>
              <w:sz w:val="24"/>
              <w:szCs w:val="24"/>
              <w:lang w:val="es-AR" w:eastAsia="es-AR"/>
              <w14:ligatures w14:val="standardContextual"/>
            </w:rPr>
          </w:pPr>
          <w:hyperlink w:anchor="_Toc241847782" w:history="1">
            <w:r w:rsidRPr="00267743">
              <w:rPr>
                <w:rStyle w:val="Hyperlink"/>
                <w:noProof/>
                <w:w w:val="116"/>
              </w:rPr>
              <w:t>2.3</w:t>
            </w:r>
            <w:r>
              <w:rPr>
                <w:rFonts w:asciiTheme="minorHAnsi" w:eastAsiaTheme="minorEastAsia" w:hAnsiTheme="minorHAnsi" w:cstheme="minorBidi"/>
                <w:noProof/>
                <w:kern w:val="2"/>
                <w:sz w:val="24"/>
                <w:szCs w:val="24"/>
                <w:lang w:val="es-AR" w:eastAsia="es-AR"/>
                <w14:ligatures w14:val="standardContextual"/>
              </w:rPr>
              <w:tab/>
            </w:r>
            <w:r w:rsidRPr="00267743">
              <w:rPr>
                <w:rStyle w:val="Hyperlink"/>
                <w:noProof/>
                <w:w w:val="105"/>
              </w:rPr>
              <w:t>Seguridad</w:t>
            </w:r>
            <w:r w:rsidRPr="00267743">
              <w:rPr>
                <w:rStyle w:val="Hyperlink"/>
                <w:noProof/>
                <w:spacing w:val="23"/>
                <w:w w:val="105"/>
              </w:rPr>
              <w:t xml:space="preserve"> y Privacidad</w:t>
            </w:r>
            <w:r>
              <w:rPr>
                <w:noProof/>
                <w:webHidden/>
              </w:rPr>
              <w:tab/>
            </w:r>
            <w:r>
              <w:rPr>
                <w:noProof/>
                <w:webHidden/>
              </w:rPr>
              <w:fldChar w:fldCharType="begin"/>
            </w:r>
            <w:r>
              <w:rPr>
                <w:noProof/>
                <w:webHidden/>
              </w:rPr>
              <w:instrText xml:space="preserve"> PAGEREF _Toc241847782 \h </w:instrText>
            </w:r>
            <w:r>
              <w:rPr>
                <w:noProof/>
                <w:webHidden/>
              </w:rPr>
            </w:r>
            <w:r>
              <w:rPr>
                <w:noProof/>
                <w:webHidden/>
              </w:rPr>
              <w:fldChar w:fldCharType="separate"/>
            </w:r>
            <w:r>
              <w:rPr>
                <w:noProof/>
                <w:webHidden/>
              </w:rPr>
              <w:t>10</w:t>
            </w:r>
            <w:r>
              <w:rPr>
                <w:noProof/>
                <w:webHidden/>
              </w:rPr>
              <w:fldChar w:fldCharType="end"/>
            </w:r>
          </w:hyperlink>
        </w:p>
        <w:p w14:paraId="4AC05BE7" w14:textId="26810AFA" w:rsidR="00EB3C67" w:rsidRDefault="00EB3C67">
          <w:pPr>
            <w:pStyle w:val="TOC1"/>
            <w:tabs>
              <w:tab w:val="left" w:pos="995"/>
              <w:tab w:val="right" w:leader="dot" w:pos="8920"/>
            </w:tabs>
            <w:rPr>
              <w:rFonts w:asciiTheme="minorHAnsi" w:eastAsiaTheme="minorEastAsia" w:hAnsiTheme="minorHAnsi" w:cstheme="minorBidi"/>
              <w:b w:val="0"/>
              <w:bCs w:val="0"/>
              <w:noProof/>
              <w:kern w:val="2"/>
              <w:sz w:val="24"/>
              <w:szCs w:val="24"/>
              <w:lang w:val="es-AR" w:eastAsia="es-AR"/>
              <w14:ligatures w14:val="standardContextual"/>
            </w:rPr>
          </w:pPr>
          <w:hyperlink w:anchor="_Toc241847783" w:history="1">
            <w:r w:rsidRPr="00267743">
              <w:rPr>
                <w:rStyle w:val="Hyperlink"/>
                <w:noProof/>
                <w:spacing w:val="-1"/>
                <w:w w:val="105"/>
              </w:rPr>
              <w:t>3.</w:t>
            </w:r>
            <w:r>
              <w:rPr>
                <w:rFonts w:asciiTheme="minorHAnsi" w:eastAsiaTheme="minorEastAsia" w:hAnsiTheme="minorHAnsi" w:cstheme="minorBidi"/>
                <w:b w:val="0"/>
                <w:bCs w:val="0"/>
                <w:noProof/>
                <w:kern w:val="2"/>
                <w:sz w:val="24"/>
                <w:szCs w:val="24"/>
                <w:lang w:val="es-AR" w:eastAsia="es-AR"/>
                <w14:ligatures w14:val="standardContextual"/>
              </w:rPr>
              <w:tab/>
            </w:r>
            <w:r w:rsidRPr="00267743">
              <w:rPr>
                <w:rStyle w:val="Hyperlink"/>
                <w:noProof/>
                <w:w w:val="105"/>
              </w:rPr>
              <w:t>Factibilidad</w:t>
            </w:r>
            <w:r w:rsidRPr="00267743">
              <w:rPr>
                <w:rStyle w:val="Hyperlink"/>
                <w:noProof/>
                <w:spacing w:val="20"/>
                <w:w w:val="105"/>
              </w:rPr>
              <w:t xml:space="preserve"> </w:t>
            </w:r>
            <w:r w:rsidRPr="00267743">
              <w:rPr>
                <w:rStyle w:val="Hyperlink"/>
                <w:noProof/>
                <w:spacing w:val="-2"/>
                <w:w w:val="105"/>
              </w:rPr>
              <w:t>Económica</w:t>
            </w:r>
            <w:r>
              <w:rPr>
                <w:noProof/>
                <w:webHidden/>
              </w:rPr>
              <w:tab/>
            </w:r>
            <w:r>
              <w:rPr>
                <w:noProof/>
                <w:webHidden/>
              </w:rPr>
              <w:fldChar w:fldCharType="begin"/>
            </w:r>
            <w:r>
              <w:rPr>
                <w:noProof/>
                <w:webHidden/>
              </w:rPr>
              <w:instrText xml:space="preserve"> PAGEREF _Toc241847783 \h </w:instrText>
            </w:r>
            <w:r>
              <w:rPr>
                <w:noProof/>
                <w:webHidden/>
              </w:rPr>
            </w:r>
            <w:r>
              <w:rPr>
                <w:noProof/>
                <w:webHidden/>
              </w:rPr>
              <w:fldChar w:fldCharType="separate"/>
            </w:r>
            <w:r>
              <w:rPr>
                <w:noProof/>
                <w:webHidden/>
              </w:rPr>
              <w:t>12</w:t>
            </w:r>
            <w:r>
              <w:rPr>
                <w:noProof/>
                <w:webHidden/>
              </w:rPr>
              <w:fldChar w:fldCharType="end"/>
            </w:r>
          </w:hyperlink>
        </w:p>
        <w:p w14:paraId="5092827C" w14:textId="65A1E15F" w:rsidR="00EB3C67" w:rsidRDefault="00EB3C67">
          <w:pPr>
            <w:pStyle w:val="TOC1"/>
            <w:tabs>
              <w:tab w:val="left" w:pos="995"/>
              <w:tab w:val="right" w:leader="dot" w:pos="8920"/>
            </w:tabs>
            <w:rPr>
              <w:rFonts w:asciiTheme="minorHAnsi" w:eastAsiaTheme="minorEastAsia" w:hAnsiTheme="minorHAnsi" w:cstheme="minorBidi"/>
              <w:b w:val="0"/>
              <w:bCs w:val="0"/>
              <w:noProof/>
              <w:kern w:val="2"/>
              <w:sz w:val="24"/>
              <w:szCs w:val="24"/>
              <w:lang w:val="es-AR" w:eastAsia="es-AR"/>
              <w14:ligatures w14:val="standardContextual"/>
            </w:rPr>
          </w:pPr>
          <w:hyperlink w:anchor="_Toc241847784" w:history="1">
            <w:r w:rsidRPr="00267743">
              <w:rPr>
                <w:rStyle w:val="Hyperlink"/>
                <w:noProof/>
                <w:spacing w:val="-1"/>
                <w:w w:val="105"/>
              </w:rPr>
              <w:t>4.</w:t>
            </w:r>
            <w:r>
              <w:rPr>
                <w:rFonts w:asciiTheme="minorHAnsi" w:eastAsiaTheme="minorEastAsia" w:hAnsiTheme="minorHAnsi" w:cstheme="minorBidi"/>
                <w:b w:val="0"/>
                <w:bCs w:val="0"/>
                <w:noProof/>
                <w:kern w:val="2"/>
                <w:sz w:val="24"/>
                <w:szCs w:val="24"/>
                <w:lang w:val="es-AR" w:eastAsia="es-AR"/>
                <w14:ligatures w14:val="standardContextual"/>
              </w:rPr>
              <w:tab/>
            </w:r>
            <w:r w:rsidRPr="00267743">
              <w:rPr>
                <w:rStyle w:val="Hyperlink"/>
                <w:noProof/>
                <w:w w:val="105"/>
              </w:rPr>
              <w:t>Valor</w:t>
            </w:r>
            <w:r w:rsidRPr="00267743">
              <w:rPr>
                <w:rStyle w:val="Hyperlink"/>
                <w:noProof/>
                <w:spacing w:val="9"/>
                <w:w w:val="105"/>
              </w:rPr>
              <w:t xml:space="preserve"> </w:t>
            </w:r>
            <w:r w:rsidRPr="00267743">
              <w:rPr>
                <w:rStyle w:val="Hyperlink"/>
                <w:noProof/>
                <w:w w:val="105"/>
              </w:rPr>
              <w:t>Diferencial</w:t>
            </w:r>
            <w:r w:rsidRPr="00267743">
              <w:rPr>
                <w:rStyle w:val="Hyperlink"/>
                <w:noProof/>
                <w:spacing w:val="8"/>
                <w:w w:val="105"/>
              </w:rPr>
              <w:t xml:space="preserve"> </w:t>
            </w:r>
            <w:r w:rsidRPr="00267743">
              <w:rPr>
                <w:rStyle w:val="Hyperlink"/>
                <w:noProof/>
                <w:w w:val="105"/>
              </w:rPr>
              <w:t>e</w:t>
            </w:r>
            <w:r w:rsidRPr="00267743">
              <w:rPr>
                <w:rStyle w:val="Hyperlink"/>
                <w:noProof/>
                <w:spacing w:val="9"/>
                <w:w w:val="105"/>
              </w:rPr>
              <w:t xml:space="preserve"> </w:t>
            </w:r>
            <w:r w:rsidRPr="00267743">
              <w:rPr>
                <w:rStyle w:val="Hyperlink"/>
                <w:noProof/>
                <w:spacing w:val="-2"/>
                <w:w w:val="105"/>
              </w:rPr>
              <w:t>Innovación</w:t>
            </w:r>
            <w:r>
              <w:rPr>
                <w:noProof/>
                <w:webHidden/>
              </w:rPr>
              <w:tab/>
            </w:r>
            <w:r>
              <w:rPr>
                <w:noProof/>
                <w:webHidden/>
              </w:rPr>
              <w:fldChar w:fldCharType="begin"/>
            </w:r>
            <w:r>
              <w:rPr>
                <w:noProof/>
                <w:webHidden/>
              </w:rPr>
              <w:instrText xml:space="preserve"> PAGEREF _Toc241847784 \h </w:instrText>
            </w:r>
            <w:r>
              <w:rPr>
                <w:noProof/>
                <w:webHidden/>
              </w:rPr>
            </w:r>
            <w:r>
              <w:rPr>
                <w:noProof/>
                <w:webHidden/>
              </w:rPr>
              <w:fldChar w:fldCharType="separate"/>
            </w:r>
            <w:r>
              <w:rPr>
                <w:noProof/>
                <w:webHidden/>
              </w:rPr>
              <w:t>13</w:t>
            </w:r>
            <w:r>
              <w:rPr>
                <w:noProof/>
                <w:webHidden/>
              </w:rPr>
              <w:fldChar w:fldCharType="end"/>
            </w:r>
          </w:hyperlink>
        </w:p>
        <w:p w14:paraId="1FA4B986" w14:textId="2BE12207" w:rsidR="00EB3C67" w:rsidRDefault="00EB3C67">
          <w:pPr>
            <w:pStyle w:val="TOC1"/>
            <w:tabs>
              <w:tab w:val="left" w:pos="995"/>
              <w:tab w:val="right" w:leader="dot" w:pos="8920"/>
            </w:tabs>
            <w:rPr>
              <w:rFonts w:asciiTheme="minorHAnsi" w:eastAsiaTheme="minorEastAsia" w:hAnsiTheme="minorHAnsi" w:cstheme="minorBidi"/>
              <w:b w:val="0"/>
              <w:bCs w:val="0"/>
              <w:noProof/>
              <w:kern w:val="2"/>
              <w:sz w:val="24"/>
              <w:szCs w:val="24"/>
              <w:lang w:val="es-AR" w:eastAsia="es-AR"/>
              <w14:ligatures w14:val="standardContextual"/>
            </w:rPr>
          </w:pPr>
          <w:hyperlink w:anchor="_Toc241847785" w:history="1">
            <w:r w:rsidRPr="00267743">
              <w:rPr>
                <w:rStyle w:val="Hyperlink"/>
                <w:noProof/>
                <w:spacing w:val="-1"/>
                <w:w w:val="105"/>
              </w:rPr>
              <w:t>5.</w:t>
            </w:r>
            <w:r>
              <w:rPr>
                <w:rFonts w:asciiTheme="minorHAnsi" w:eastAsiaTheme="minorEastAsia" w:hAnsiTheme="minorHAnsi" w:cstheme="minorBidi"/>
                <w:b w:val="0"/>
                <w:bCs w:val="0"/>
                <w:noProof/>
                <w:kern w:val="2"/>
                <w:sz w:val="24"/>
                <w:szCs w:val="24"/>
                <w:lang w:val="es-AR" w:eastAsia="es-AR"/>
                <w14:ligatures w14:val="standardContextual"/>
              </w:rPr>
              <w:tab/>
            </w:r>
            <w:r w:rsidRPr="00267743">
              <w:rPr>
                <w:rStyle w:val="Hyperlink"/>
                <w:noProof/>
                <w:spacing w:val="-2"/>
                <w:w w:val="110"/>
              </w:rPr>
              <w:t>Trabajo</w:t>
            </w:r>
            <w:r w:rsidRPr="00267743">
              <w:rPr>
                <w:rStyle w:val="Hyperlink"/>
                <w:noProof/>
                <w:spacing w:val="13"/>
                <w:w w:val="110"/>
              </w:rPr>
              <w:t xml:space="preserve"> </w:t>
            </w:r>
            <w:r w:rsidRPr="00267743">
              <w:rPr>
                <w:rStyle w:val="Hyperlink"/>
                <w:noProof/>
                <w:spacing w:val="-2"/>
                <w:w w:val="110"/>
              </w:rPr>
              <w:t>Futuro</w:t>
            </w:r>
            <w:r>
              <w:rPr>
                <w:noProof/>
                <w:webHidden/>
              </w:rPr>
              <w:tab/>
            </w:r>
            <w:r>
              <w:rPr>
                <w:noProof/>
                <w:webHidden/>
              </w:rPr>
              <w:fldChar w:fldCharType="begin"/>
            </w:r>
            <w:r>
              <w:rPr>
                <w:noProof/>
                <w:webHidden/>
              </w:rPr>
              <w:instrText xml:space="preserve"> PAGEREF _Toc241847785 \h </w:instrText>
            </w:r>
            <w:r>
              <w:rPr>
                <w:noProof/>
                <w:webHidden/>
              </w:rPr>
            </w:r>
            <w:r>
              <w:rPr>
                <w:noProof/>
                <w:webHidden/>
              </w:rPr>
              <w:fldChar w:fldCharType="separate"/>
            </w:r>
            <w:r>
              <w:rPr>
                <w:noProof/>
                <w:webHidden/>
              </w:rPr>
              <w:t>14</w:t>
            </w:r>
            <w:r>
              <w:rPr>
                <w:noProof/>
                <w:webHidden/>
              </w:rPr>
              <w:fldChar w:fldCharType="end"/>
            </w:r>
          </w:hyperlink>
        </w:p>
        <w:p w14:paraId="0D6E016E" w14:textId="03610CDC" w:rsidR="00EB3C67" w:rsidRDefault="00EB3C67">
          <w:pPr>
            <w:pStyle w:val="TOC1"/>
            <w:tabs>
              <w:tab w:val="left" w:pos="995"/>
              <w:tab w:val="right" w:leader="dot" w:pos="8920"/>
            </w:tabs>
            <w:rPr>
              <w:rFonts w:asciiTheme="minorHAnsi" w:eastAsiaTheme="minorEastAsia" w:hAnsiTheme="minorHAnsi" w:cstheme="minorBidi"/>
              <w:b w:val="0"/>
              <w:bCs w:val="0"/>
              <w:noProof/>
              <w:kern w:val="2"/>
              <w:sz w:val="24"/>
              <w:szCs w:val="24"/>
              <w:lang w:val="es-AR" w:eastAsia="es-AR"/>
              <w14:ligatures w14:val="standardContextual"/>
            </w:rPr>
          </w:pPr>
          <w:hyperlink w:anchor="_Toc241847786" w:history="1">
            <w:r w:rsidRPr="00267743">
              <w:rPr>
                <w:rStyle w:val="Hyperlink"/>
                <w:noProof/>
                <w:spacing w:val="-1"/>
                <w:w w:val="105"/>
              </w:rPr>
              <w:t>6.</w:t>
            </w:r>
            <w:r>
              <w:rPr>
                <w:rFonts w:asciiTheme="minorHAnsi" w:eastAsiaTheme="minorEastAsia" w:hAnsiTheme="minorHAnsi" w:cstheme="minorBidi"/>
                <w:b w:val="0"/>
                <w:bCs w:val="0"/>
                <w:noProof/>
                <w:kern w:val="2"/>
                <w:sz w:val="24"/>
                <w:szCs w:val="24"/>
                <w:lang w:val="es-AR" w:eastAsia="es-AR"/>
                <w14:ligatures w14:val="standardContextual"/>
              </w:rPr>
              <w:tab/>
            </w:r>
            <w:r w:rsidRPr="00267743">
              <w:rPr>
                <w:rStyle w:val="Hyperlink"/>
                <w:noProof/>
                <w:spacing w:val="-2"/>
              </w:rPr>
              <w:t>Conclusiones</w:t>
            </w:r>
            <w:r>
              <w:rPr>
                <w:noProof/>
                <w:webHidden/>
              </w:rPr>
              <w:tab/>
            </w:r>
            <w:r>
              <w:rPr>
                <w:noProof/>
                <w:webHidden/>
              </w:rPr>
              <w:fldChar w:fldCharType="begin"/>
            </w:r>
            <w:r>
              <w:rPr>
                <w:noProof/>
                <w:webHidden/>
              </w:rPr>
              <w:instrText xml:space="preserve"> PAGEREF _Toc241847786 \h </w:instrText>
            </w:r>
            <w:r>
              <w:rPr>
                <w:noProof/>
                <w:webHidden/>
              </w:rPr>
            </w:r>
            <w:r>
              <w:rPr>
                <w:noProof/>
                <w:webHidden/>
              </w:rPr>
              <w:fldChar w:fldCharType="separate"/>
            </w:r>
            <w:r>
              <w:rPr>
                <w:noProof/>
                <w:webHidden/>
              </w:rPr>
              <w:t>15</w:t>
            </w:r>
            <w:r>
              <w:rPr>
                <w:noProof/>
                <w:webHidden/>
              </w:rPr>
              <w:fldChar w:fldCharType="end"/>
            </w:r>
          </w:hyperlink>
        </w:p>
        <w:p w14:paraId="0EFF4394" w14:textId="503991D5" w:rsidR="00B63A85" w:rsidRDefault="00C0062E">
          <w:pPr>
            <w:pStyle w:val="TOC2"/>
            <w:tabs>
              <w:tab w:val="right" w:leader="dot" w:pos="8924"/>
            </w:tabs>
            <w:rPr>
              <w:rFonts w:asciiTheme="minorHAnsi" w:eastAsiaTheme="minorEastAsia" w:hAnsiTheme="minorHAnsi" w:cstheme="minorBidi"/>
              <w:kern w:val="2"/>
              <w:sz w:val="24"/>
              <w:szCs w:val="24"/>
              <w:lang w:eastAsia="es-ES"/>
              <w14:ligatures w14:val="standardContextual"/>
            </w:rPr>
          </w:pPr>
          <w:r>
            <w:rPr>
              <w:rStyle w:val="Enlacedelndice"/>
            </w:rPr>
            <w:fldChar w:fldCharType="end"/>
          </w:r>
        </w:p>
      </w:sdtContent>
    </w:sdt>
    <w:p w14:paraId="71D03DB5" w14:textId="77777777" w:rsidR="00B63A85" w:rsidRDefault="00B63A85">
      <w:pPr>
        <w:pStyle w:val="TOC1"/>
        <w:tabs>
          <w:tab w:val="right" w:leader="dot" w:pos="8901"/>
        </w:tabs>
        <w:ind w:left="170"/>
      </w:pPr>
    </w:p>
    <w:p w14:paraId="5CDC4AC1" w14:textId="77777777" w:rsidR="00B63A85" w:rsidRDefault="00C0062E">
      <w:r>
        <w:br w:type="page"/>
      </w:r>
    </w:p>
    <w:p w14:paraId="0A2CADA7" w14:textId="77777777" w:rsidR="00B63A85" w:rsidRDefault="00C0062E">
      <w:pPr>
        <w:pStyle w:val="Heading1"/>
        <w:keepNext/>
        <w:numPr>
          <w:ilvl w:val="0"/>
          <w:numId w:val="1"/>
        </w:numPr>
        <w:tabs>
          <w:tab w:val="left" w:pos="378"/>
          <w:tab w:val="left" w:pos="8901"/>
        </w:tabs>
        <w:spacing w:before="0"/>
        <w:ind w:left="378" w:hanging="208"/>
        <w:rPr>
          <w:u w:val="none"/>
        </w:rPr>
      </w:pPr>
      <w:bookmarkStart w:id="2" w:name="Descripción_del_Desafío"/>
      <w:bookmarkStart w:id="3" w:name="_bookmark1"/>
      <w:bookmarkStart w:id="4" w:name="cuerpo_informe"/>
      <w:bookmarkEnd w:id="2"/>
      <w:bookmarkEnd w:id="3"/>
      <w:r>
        <w:rPr>
          <w:spacing w:val="64"/>
          <w:w w:val="150"/>
        </w:rPr>
        <w:lastRenderedPageBreak/>
        <w:t xml:space="preserve"> </w:t>
      </w:r>
      <w:bookmarkStart w:id="5" w:name="_Toc241847767"/>
      <w:r>
        <w:t>Descripción</w:t>
      </w:r>
      <w:r>
        <w:rPr>
          <w:spacing w:val="42"/>
        </w:rPr>
        <w:t xml:space="preserve"> </w:t>
      </w:r>
      <w:r>
        <w:t>del</w:t>
      </w:r>
      <w:r>
        <w:rPr>
          <w:spacing w:val="42"/>
        </w:rPr>
        <w:t xml:space="preserve"> </w:t>
      </w:r>
      <w:r>
        <w:rPr>
          <w:spacing w:val="-2"/>
        </w:rPr>
        <w:t>Desafío</w:t>
      </w:r>
      <w:bookmarkEnd w:id="5"/>
      <w:r>
        <w:tab/>
      </w:r>
    </w:p>
    <w:p w14:paraId="6F0E837B" w14:textId="77777777" w:rsidR="00B63A85" w:rsidRDefault="00C0062E">
      <w:pPr>
        <w:pStyle w:val="BodyText"/>
        <w:spacing w:before="90" w:line="264" w:lineRule="auto"/>
        <w:ind w:left="170" w:right="120"/>
        <w:jc w:val="both"/>
      </w:pPr>
      <w:r>
        <w:rPr>
          <w:b/>
          <w:bCs/>
          <w:i w:val="0"/>
          <w:iCs w:val="0"/>
          <w:sz w:val="20"/>
          <w:szCs w:val="20"/>
        </w:rPr>
        <w:t xml:space="preserve">Desafío 1: Data-Driven Repurchase based on Service Retention.</w:t>
      </w:r>
      <w:r>
        <w:rPr>
          <w:i w:val="0"/>
          <w:iCs w:val="0"/>
          <w:sz w:val="20"/>
          <w:szCs w:val="20"/>
        </w:rPr>
        <w:t xml:space="preserve"> Predicción de retorno a la red oficial en ventana de servicio. Área: Customer Experience &amp; Data Strategy, Posventa / Retención de Servicio. Mentor y SPOC: Facundo Bertolosso.</w:t>
      </w:r>
    </w:p>
    <w:p w14:paraId="1AD6FF25" w14:textId="77777777" w:rsidR="00B63A85" w:rsidRDefault="00C0062E">
      <w:pPr>
        <w:pStyle w:val="BodyText"/>
        <w:spacing w:before="90" w:line="264" w:lineRule="auto"/>
        <w:ind w:left="170" w:right="120"/>
        <w:jc w:val="both"/>
      </w:pPr>
      <w:r>
        <w:rPr>
          <w:i w:val="0"/>
          <w:iCs w:val="0"/>
          <w:sz w:val="20"/>
          <w:szCs w:val="20"/>
        </w:rPr>
        <w:t xml:space="preserve">Cuando una Ranger entra en su ventana de mantenimiento, el concesionario decide a quién contactar con reglas de tiempo, kilometraje y vencimiento. Esas reglas dicen quién está en condiciones de hacer el service, pero no quién está por dejar de hacerlo en la red. El cliente que va a volver por su cuenta y el que se está yendo reciben el mismo mensaje, y la pérdida del segundo recién se nota cuando su ventana ya cerró. Para Ford, que busca sostener la relación durante toda la vida del cliente, la posventa es el lugar donde eso se juega.</w:t>
      </w:r>
    </w:p>
    <w:p w14:paraId="4506F2DA" w14:textId="77777777" w:rsidR="00B63A85" w:rsidRDefault="00C0062E">
      <w:pPr>
        <w:pStyle w:val="BodyText"/>
        <w:spacing w:before="90" w:line="264" w:lineRule="auto"/>
        <w:ind w:left="170" w:right="120"/>
        <w:jc w:val="both"/>
      </w:pPr>
      <w:r>
        <w:rPr>
          <w:i w:val="0"/>
          <w:iCs w:val="0"/>
          <w:sz w:val="20"/>
          <w:szCs w:val="20"/>
        </w:rPr>
        <w:t xml:space="preserve">La ficha técnica pide un modelo que, </w:t>
      </w:r>
      <w:r>
        <w:rPr>
          <w:b/>
          <w:bCs/>
          <w:i w:val="0"/>
          <w:iCs w:val="0"/>
          <w:sz w:val="20"/>
          <w:szCs w:val="20"/>
        </w:rPr>
        <w:t xml:space="preserve">para cada usuario con al menos un vehículo dentro de la ventana de servicio</w:t>
      </w:r>
      <w:r>
        <w:rPr>
          <w:i w:val="0"/>
          <w:iCs w:val="0"/>
          <w:sz w:val="20"/>
          <w:szCs w:val="20"/>
        </w:rPr>
        <w:t xml:space="preserve">, estime la probabilidad de churn, entendido como </w:t>
      </w:r>
      <w:r>
        <w:rPr>
          <w:b/>
          <w:bCs/>
          <w:i w:val="0"/>
          <w:iCs w:val="0"/>
          <w:sz w:val="20"/>
          <w:szCs w:val="20"/>
        </w:rPr>
        <w:t xml:space="preserve">no completar el próximo mantenimiento programado en la red oficial</w:t>
      </w:r>
      <w:r>
        <w:rPr>
          <w:i w:val="0"/>
          <w:iCs w:val="0"/>
          <w:sz w:val="20"/>
          <w:szCs w:val="20"/>
        </w:rPr>
        <w:t xml:space="preserve"> dentro del horizonte que defina el negocio. La unidad de análisis es usuario–vehículo (VIN)–ventana, y cuando un usuario tiene varios vehículos se pide además una vista consolidada.</w:t>
      </w:r>
    </w:p>
    <w:p w14:paraId="369F68D1" w14:textId="77777777" w:rsidR="00B63A85" w:rsidRDefault="00C0062E">
      <w:pPr>
        <w:pStyle w:val="BodyText"/>
        <w:spacing w:before="90" w:line="264" w:lineRule="auto"/>
        <w:ind w:left="170" w:right="120"/>
        <w:jc w:val="both"/>
      </w:pPr>
      <w:r>
        <w:rPr>
          <w:i w:val="0"/>
          <w:iCs w:val="0"/>
          <w:sz w:val="20"/>
          <w:szCs w:val="20"/>
        </w:rPr>
        <w:t xml:space="preserve">La salida mínima, por vehículo, incluye customer_id y vehicle_id seudonimizados, fecha de scoring, probabilidad entre 0 y 1, segmento de riesgo y principales drivers. Hay cinco restricciones: no usar ninguna variable posterior a la fecha de scoring, validar con separación por fecha, calibrar las probabilidades, que la explicación sea auditable y que todo pueda reproducirse.</w:t>
      </w:r>
    </w:p>
    <w:p w14:paraId="1C84E8AE" w14:textId="77777777" w:rsidR="00B63A85" w:rsidRDefault="00C0062E">
      <w:pPr>
        <w:pStyle w:val="BodyText"/>
        <w:spacing w:before="90" w:line="264" w:lineRule="auto"/>
        <w:ind w:left="170" w:right="120"/>
        <w:jc w:val="both"/>
      </w:pPr>
      <w:r>
        <w:rPr>
          <w:i w:val="0"/>
          <w:iCs w:val="0"/>
          <w:sz w:val="20"/>
          <w:szCs w:val="20"/>
        </w:rPr>
        <w:t>El jurado evalúa nueve criterios:</w:t>
      </w:r>
    </w:p>
    <w:p w14:paraId="31DF0B04" w14:textId="77777777" w:rsidR="00B63A85" w:rsidRDefault="00C0062E">
      <w:pPr>
        <w:pStyle w:val="ListParagraph"/>
        <w:numPr>
          <w:ilvl w:val="0"/>
          <w:numId w:val="2"/>
        </w:numPr>
        <w:spacing w:before="50" w:line="259" w:lineRule="auto"/>
        <w:ind w:right="120"/>
        <w:jc w:val="both"/>
      </w:pPr>
      <w:r>
        <w:rPr>
          <w:sz w:val="20"/>
          <w:szCs w:val="20"/>
        </w:rPr>
        <w:t>formulación de población, ventana y target;</w:t>
      </w:r>
    </w:p>
    <w:p w14:paraId="54B66DF2" w14:textId="77777777" w:rsidR="00B63A85" w:rsidRDefault="00C0062E">
      <w:pPr>
        <w:pStyle w:val="ListParagraph"/>
        <w:numPr>
          <w:ilvl w:val="0"/>
          <w:numId w:val="2"/>
        </w:numPr>
        <w:spacing w:before="50" w:line="259" w:lineRule="auto"/>
        <w:ind w:right="120"/>
        <w:jc w:val="both"/>
      </w:pPr>
      <w:r>
        <w:rPr>
          <w:sz w:val="20"/>
          <w:szCs w:val="20"/>
        </w:rPr>
        <w:t>ausencia de leakage y validación temporal;</w:t>
      </w:r>
    </w:p>
    <w:p w14:paraId="75A4C06A" w14:textId="77777777" w:rsidR="00B63A85" w:rsidRDefault="00C0062E">
      <w:pPr>
        <w:pStyle w:val="ListParagraph"/>
        <w:numPr>
          <w:ilvl w:val="0"/>
          <w:numId w:val="2"/>
        </w:numPr>
        <w:spacing w:before="50" w:line="259" w:lineRule="auto"/>
        <w:ind w:right="120"/>
        <w:jc w:val="both"/>
      </w:pPr>
      <w:r>
        <w:rPr>
          <w:sz w:val="20"/>
          <w:szCs w:val="20"/>
        </w:rPr>
        <w:t>poder predictivo (ROC-AUC y especialmente PR-AUC, precisión y recall sobre churn, lift por deciles, recall</w:t>
      </w:r>
      <w:r>
        <w:rPr>
          <w:sz w:val="20"/>
          <w:szCs w:val="20"/>
        </w:rPr>
        <w:t xml:space="preserve"> a capacidad de contacto);</w:t>
      </w:r>
    </w:p>
    <w:p w14:paraId="4C76AB1A" w14:textId="77777777" w:rsidR="00B63A85" w:rsidRDefault="00C0062E">
      <w:pPr>
        <w:pStyle w:val="ListParagraph"/>
        <w:numPr>
          <w:ilvl w:val="0"/>
          <w:numId w:val="2"/>
        </w:numPr>
        <w:spacing w:before="50" w:line="259" w:lineRule="auto"/>
        <w:ind w:right="120"/>
        <w:jc w:val="both"/>
      </w:pPr>
      <w:r>
        <w:rPr>
          <w:sz w:val="20"/>
          <w:szCs w:val="20"/>
        </w:rPr>
        <w:t>calibración;</w:t>
      </w:r>
    </w:p>
    <w:p w14:paraId="7F8EE360" w14:textId="77777777" w:rsidR="00B63A85" w:rsidRDefault="00C0062E">
      <w:pPr>
        <w:pStyle w:val="ListParagraph"/>
        <w:numPr>
          <w:ilvl w:val="0"/>
          <w:numId w:val="2"/>
        </w:numPr>
        <w:spacing w:before="50" w:line="259" w:lineRule="auto"/>
        <w:ind w:right="120"/>
        <w:jc w:val="both"/>
      </w:pPr>
      <w:r>
        <w:rPr>
          <w:sz w:val="20"/>
          <w:szCs w:val="20"/>
        </w:rPr>
        <w:t>explicabilidad;</w:t>
      </w:r>
    </w:p>
    <w:p w14:paraId="27B5DF66" w14:textId="77777777" w:rsidR="00B63A85" w:rsidRDefault="00C0062E">
      <w:pPr>
        <w:pStyle w:val="ListParagraph"/>
        <w:numPr>
          <w:ilvl w:val="0"/>
          <w:numId w:val="2"/>
        </w:numPr>
        <w:spacing w:before="50" w:line="259" w:lineRule="auto"/>
        <w:ind w:right="120"/>
        <w:jc w:val="both"/>
      </w:pPr>
      <w:r>
        <w:rPr>
          <w:sz w:val="20"/>
          <w:szCs w:val="20"/>
        </w:rPr>
        <w:t>accionabilidad e integración;</w:t>
      </w:r>
    </w:p>
    <w:p w14:paraId="074819E9" w14:textId="77777777" w:rsidR="00B63A85" w:rsidRDefault="00C0062E">
      <w:pPr>
        <w:pStyle w:val="ListParagraph"/>
        <w:numPr>
          <w:ilvl w:val="0"/>
          <w:numId w:val="2"/>
        </w:numPr>
        <w:spacing w:before="50" w:line="259" w:lineRule="auto"/>
        <w:ind w:right="120"/>
        <w:jc w:val="both"/>
      </w:pPr>
      <w:r>
        <w:rPr>
          <w:sz w:val="20"/>
          <w:szCs w:val="20"/>
        </w:rPr>
        <w:t>viabilidad y reproducibilidad;</w:t>
      </w:r>
    </w:p>
    <w:p w14:paraId="7416A88D" w14:textId="77777777" w:rsidR="00B63A85" w:rsidRDefault="00C0062E">
      <w:pPr>
        <w:pStyle w:val="ListParagraph"/>
        <w:numPr>
          <w:ilvl w:val="0"/>
          <w:numId w:val="2"/>
        </w:numPr>
        <w:spacing w:before="50" w:line="259" w:lineRule="auto"/>
        <w:ind w:right="120"/>
        <w:jc w:val="both"/>
      </w:pPr>
      <w:r>
        <w:rPr>
          <w:sz w:val="20"/>
          <w:szCs w:val="20"/>
        </w:rPr>
        <w:t>innovación;</w:t>
      </w:r>
    </w:p>
    <w:p w14:paraId="244D302C" w14:textId="77777777" w:rsidR="00B63A85" w:rsidRDefault="00C0062E">
      <w:pPr>
        <w:pStyle w:val="ListParagraph"/>
        <w:numPr>
          <w:ilvl w:val="0"/>
          <w:numId w:val="2"/>
        </w:numPr>
        <w:spacing w:before="50" w:line="259" w:lineRule="auto"/>
        <w:ind w:right="120"/>
        <w:jc w:val="both"/>
      </w:pPr>
      <w:r>
        <w:rPr>
          <w:sz w:val="20"/>
          <w:szCs w:val="20"/>
        </w:rPr>
        <w:t>claridad del pitch.</w:t>
      </w:r>
    </w:p>
    <w:p w14:paraId="403DC0B5" w14:textId="77777777" w:rsidR="00B63A85" w:rsidRDefault="00C0062E">
      <w:pPr>
        <w:pStyle w:val="BodyText"/>
        <w:spacing w:before="90" w:line="264" w:lineRule="auto"/>
        <w:ind w:left="170" w:right="120"/>
        <w:jc w:val="both"/>
      </w:pPr>
      <w:r>
        <w:rPr>
          <w:b/>
          <w:bCs/>
          <w:i w:val="0"/>
          <w:iCs w:val="0"/>
          <w:sz w:val="20"/>
          <w:szCs w:val="20"/>
        </w:rPr>
        <w:t xml:space="preserve">Datos recibidos.</w:t>
      </w:r>
      <w:r>
        <w:rPr>
          <w:i w:val="0"/>
          <w:iCs w:val="0"/>
          <w:sz w:val="20"/>
          <w:szCs w:val="20"/>
        </w:rPr>
        <w:t xml:space="preserve"> Dos extractos seudonimizados de BigQuery: las ventas de Ranger en Argentina y la agenda de turnos de servicio de todo el parque Ranger, ambos de 2024 a 2026 y con corte el 25/08/2026. No incluyen CRM, DMS, campañas, web ni telemetría. Los volúmenes están en el Anexo A.</w:t>
      </w:r>
    </w:p>
    <w:p w14:paraId="1C16A67D" w14:textId="77777777" w:rsidR="00B63A85" w:rsidRDefault="00C0062E">
      <w:pPr>
        <w:pStyle w:val="BodyText"/>
        <w:spacing w:before="90" w:line="264" w:lineRule="auto"/>
        <w:ind w:left="170" w:right="120"/>
        <w:jc w:val="both"/>
      </w:pPr>
      <w:r>
        <w:rPr>
          <w:i w:val="0"/>
          <w:iCs w:val="0"/>
          <w:sz w:val="20"/>
          <w:szCs w:val="20"/>
        </w:rPr>
        <w:t xml:space="preserve">Sobre el título: el resumen público del desafío habla de "Repurchase Propensity" y la ficha técnica lo baja a retención de service, porque el service es el contacto que mantiene abierta la posibilidad de una recompra. El dataset no trae una variable de recompra, aunque permite observarla; la usamos como evidencia complementaria (sección 2.2.8).</w:t>
      </w:r>
    </w:p>
    <w:p w14:paraId="2BFDCEDF" w14:textId="77777777" w:rsidR="00B63A85" w:rsidRDefault="00C0062E">
      <w:r>
        <w:br w:type="page"/>
      </w:r>
    </w:p>
    <w:p w14:paraId="42F60319" w14:textId="77777777" w:rsidR="00B63A85" w:rsidRDefault="00C0062E">
      <w:pPr>
        <w:pStyle w:val="Heading1"/>
        <w:keepNext/>
        <w:numPr>
          <w:ilvl w:val="0"/>
          <w:numId w:val="1"/>
        </w:numPr>
        <w:tabs>
          <w:tab w:val="left" w:pos="378"/>
          <w:tab w:val="left" w:pos="8901"/>
        </w:tabs>
        <w:spacing w:before="0"/>
        <w:ind w:left="378" w:hanging="208"/>
        <w:rPr>
          <w:u w:val="none"/>
        </w:rPr>
      </w:pPr>
      <w:bookmarkStart w:id="6" w:name="Descripción_de_la_Solución"/>
      <w:bookmarkStart w:id="7" w:name="_bookmark2"/>
      <w:bookmarkEnd w:id="6"/>
      <w:bookmarkEnd w:id="7"/>
      <w:r>
        <w:rPr>
          <w:spacing w:val="62"/>
          <w:w w:val="150"/>
        </w:rPr>
        <w:lastRenderedPageBreak/>
        <w:t xml:space="preserve"> </w:t>
      </w:r>
      <w:bookmarkStart w:id="8" w:name="_Toc241847768"/>
      <w:r>
        <w:t>Descripción</w:t>
      </w:r>
      <w:r>
        <w:rPr>
          <w:spacing w:val="42"/>
        </w:rPr>
        <w:t xml:space="preserve"> </w:t>
      </w:r>
      <w:r>
        <w:t>de</w:t>
      </w:r>
      <w:r>
        <w:rPr>
          <w:spacing w:val="41"/>
        </w:rPr>
        <w:t xml:space="preserve"> </w:t>
      </w:r>
      <w:r>
        <w:t>la</w:t>
      </w:r>
      <w:r>
        <w:rPr>
          <w:spacing w:val="41"/>
        </w:rPr>
        <w:t xml:space="preserve"> </w:t>
      </w:r>
      <w:r>
        <w:rPr>
          <w:spacing w:val="-2"/>
        </w:rPr>
        <w:t>Solución</w:t>
      </w:r>
      <w:bookmarkEnd w:id="8"/>
      <w:r>
        <w:tab/>
      </w:r>
    </w:p>
    <w:p w14:paraId="72E1B7DC" w14:textId="77777777" w:rsidR="00B63A85" w:rsidRDefault="00C0062E">
      <w:pPr>
        <w:pStyle w:val="Heading2"/>
        <w:keepNext/>
        <w:numPr>
          <w:ilvl w:val="1"/>
          <w:numId w:val="1"/>
        </w:numPr>
        <w:tabs>
          <w:tab w:val="left" w:pos="615"/>
        </w:tabs>
        <w:spacing w:before="218"/>
        <w:ind w:left="615" w:hanging="445"/>
      </w:pPr>
      <w:bookmarkStart w:id="9" w:name="Resumen_Ejecutivo_de_la_Solución"/>
      <w:bookmarkStart w:id="10" w:name="_bookmark3"/>
      <w:bookmarkStart w:id="11" w:name="_Toc241847769"/>
      <w:bookmarkEnd w:id="9"/>
      <w:bookmarkEnd w:id="10"/>
      <w:r>
        <w:rPr>
          <w:w w:val="105"/>
        </w:rPr>
        <w:t>Resumen</w:t>
      </w:r>
      <w:r>
        <w:rPr>
          <w:spacing w:val="34"/>
          <w:w w:val="105"/>
        </w:rPr>
        <w:t xml:space="preserve"> </w:t>
      </w:r>
      <w:r>
        <w:rPr>
          <w:w w:val="105"/>
        </w:rPr>
        <w:t>Ejecutivo</w:t>
      </w:r>
      <w:r>
        <w:rPr>
          <w:spacing w:val="35"/>
          <w:w w:val="105"/>
        </w:rPr>
        <w:t xml:space="preserve"> </w:t>
      </w:r>
      <w:r>
        <w:rPr>
          <w:w w:val="105"/>
        </w:rPr>
        <w:t>de</w:t>
      </w:r>
      <w:r>
        <w:rPr>
          <w:spacing w:val="35"/>
          <w:w w:val="105"/>
        </w:rPr>
        <w:t xml:space="preserve"> </w:t>
      </w:r>
      <w:r>
        <w:rPr>
          <w:w w:val="105"/>
        </w:rPr>
        <w:t>la</w:t>
      </w:r>
      <w:r>
        <w:rPr>
          <w:spacing w:val="35"/>
          <w:w w:val="105"/>
        </w:rPr>
        <w:t xml:space="preserve"> </w:t>
      </w:r>
      <w:r>
        <w:rPr>
          <w:spacing w:val="-2"/>
          <w:w w:val="105"/>
        </w:rPr>
        <w:t>Solución</w:t>
      </w:r>
      <w:bookmarkEnd w:id="11"/>
    </w:p>
    <w:p w14:paraId="585774B2" w14:textId="77777777" w:rsidR="00B63A85" w:rsidRDefault="00C0062E">
      <w:pPr>
        <w:pStyle w:val="BodyText"/>
        <w:spacing w:before="90" w:line="264" w:lineRule="auto"/>
        <w:ind w:left="170" w:right="120"/>
        <w:jc w:val="both"/>
      </w:pPr>
      <w:r>
        <w:rPr>
          <w:b/>
          <w:bCs/>
          <w:i w:val="0"/>
          <w:iCs w:val="0"/>
          <w:sz w:val="20"/>
          <w:szCs w:val="20"/>
        </w:rPr>
        <w:t xml:space="preserve">El problema.</w:t>
      </w:r>
      <w:r>
        <w:rPr>
          <w:i w:val="0"/>
          <w:iCs w:val="0"/>
          <w:sz w:val="20"/>
          <w:szCs w:val="20"/>
        </w:rPr>
        <w:t xml:space="preserve"> Todos los meses entre 6.000 y 7.000 Ranger entran en su ventana de mantenimiento, y cuatro de cada diez no hacen ese service en un concesionario oficial. Como hoy el contacto es igual para todos, buena parte del esfuerzo se va en clientes que habrían vuelto de cualquier manera.</w:t>
      </w:r>
    </w:p>
    <w:p w14:paraId="2E24C195" w14:textId="77777777" w:rsidR="00B63A85" w:rsidRDefault="00C0062E">
      <w:pPr>
        <w:pStyle w:val="BodyText"/>
        <w:spacing w:before="90" w:line="264" w:lineRule="auto"/>
        <w:ind w:left="170" w:right="120"/>
        <w:jc w:val="both"/>
      </w:pPr>
      <w:r>
        <w:rPr>
          <w:b/>
          <w:bCs/>
          <w:i w:val="0"/>
          <w:iCs w:val="0"/>
          <w:sz w:val="20"/>
          <w:szCs w:val="20"/>
        </w:rPr>
        <w:t xml:space="preserve">La solución.</w:t>
      </w:r>
      <w:r>
        <w:rPr>
          <w:i w:val="0"/>
          <w:iCs w:val="0"/>
          <w:sz w:val="20"/>
          <w:szCs w:val="20"/>
        </w:rPr>
        <w:t xml:space="preserve"> En el momento en que una Ranger entra en ventana, un modelo estima la probabilidad de que no vuelva y señala los tres factores que más pesan en ese riesgo. Después, una segunda etapa toma los grupos Alto y Medio, aplica reglas operativas y arma una lista con un único contacto por cliente. Esa lista se consulta en una aplicación web, junto con el riesgo y los motivos de cada caso.</w:t>
      </w:r>
    </w:p>
    <w:p w14:paraId="532340B4" w14:textId="77777777" w:rsidR="00B63A85" w:rsidRDefault="00C0062E">
      <w:pPr>
        <w:pStyle w:val="BodyText"/>
        <w:spacing w:before="90" w:line="264" w:lineRule="auto"/>
        <w:ind w:left="170" w:right="120"/>
        <w:jc w:val="both"/>
      </w:pPr>
      <w:r>
        <w:rPr>
          <w:b/>
          <w:bCs/>
          <w:i w:val="0"/>
          <w:iCs w:val="0"/>
          <w:sz w:val="20"/>
          <w:szCs w:val="20"/>
        </w:rPr>
        <w:t xml:space="preserve">Qué tan bien funciona.</w:t>
      </w:r>
      <w:r>
        <w:rPr>
          <w:i w:val="0"/>
          <w:iCs w:val="0"/>
          <w:sz w:val="20"/>
          <w:szCs w:val="20"/>
        </w:rPr>
        <w:t xml:space="preserve"> Lo probamos en meses que el modelo no había visto. Dentro del 20 % que marcó como de mayor riesgo, el 78 % efectivamente no completó el mantenimiento en ventana; en el total del test, esa proporción fue del 42,6 %. Si se supone que un contacto recupera al 15 % de quienes iban a abandonar, la simulación da un 82 % más de services retenidos que con el mismo esfuerzo repartido al azar. Ese 15 % es un supuesto, y el efecto real hay que medirlo en un piloto.</w:t>
      </w:r>
    </w:p>
    <w:p w14:paraId="0A760F7D" w14:textId="77777777" w:rsidR="00B63A85" w:rsidRDefault="00C0062E">
      <w:pPr>
        <w:pStyle w:val="BodyText"/>
        <w:spacing w:before="90" w:line="264" w:lineRule="auto"/>
        <w:ind w:left="170" w:right="120"/>
        <w:jc w:val="both"/>
      </w:pPr>
      <w:r>
        <w:rPr>
          <w:b/>
          <w:bCs/>
          <w:i w:val="0"/>
          <w:iCs w:val="0"/>
          <w:sz w:val="20"/>
          <w:szCs w:val="20"/>
        </w:rPr>
        <w:t xml:space="preserve">Qué proponemos.</w:t>
      </w:r>
      <w:r>
        <w:rPr>
          <w:i w:val="0"/>
          <w:iCs w:val="0"/>
          <w:sz w:val="20"/>
          <w:szCs w:val="20"/>
        </w:rPr>
        <w:t xml:space="preserve"> Las dos etapas funcionan con los CSV que Ford ya tiene. El segmento orienta el canal y la oferta, y la segunda etapa decide quién entra en el cupo de contactos. Antes de escalar, un piloto de 90 días con Service Leads, FordPass y Service Reminder mediría el efecto real.</w:t>
      </w:r>
    </w:p>
    <w:p w14:paraId="6E3CD692" w14:textId="77777777" w:rsidR="00B63A85" w:rsidRDefault="00C0062E">
      <w:pPr>
        <w:pStyle w:val="Heading2"/>
        <w:keepNext/>
        <w:numPr>
          <w:ilvl w:val="1"/>
          <w:numId w:val="1"/>
        </w:numPr>
        <w:tabs>
          <w:tab w:val="left" w:pos="615"/>
        </w:tabs>
        <w:ind w:left="615" w:hanging="445"/>
      </w:pPr>
      <w:bookmarkStart w:id="12" w:name="Especificaciones_Técnicas"/>
      <w:bookmarkStart w:id="13" w:name="_bookmark4"/>
      <w:bookmarkStart w:id="14" w:name="_Toc241847770"/>
      <w:bookmarkEnd w:id="12"/>
      <w:bookmarkEnd w:id="13"/>
      <w:r>
        <w:rPr>
          <w:w w:val="105"/>
        </w:rPr>
        <w:t>Especificaciones</w:t>
      </w:r>
      <w:r>
        <w:rPr>
          <w:spacing w:val="9"/>
          <w:w w:val="105"/>
        </w:rPr>
        <w:t xml:space="preserve"> </w:t>
      </w:r>
      <w:r>
        <w:rPr>
          <w:spacing w:val="-2"/>
          <w:w w:val="105"/>
        </w:rPr>
        <w:t>Técnicas</w:t>
      </w:r>
      <w:bookmarkEnd w:id="14"/>
    </w:p>
    <w:p w14:paraId="2F0086AB" w14:textId="77777777" w:rsidR="00B63A85" w:rsidRDefault="00C0062E">
      <w:pPr>
        <w:pStyle w:val="BodyText"/>
        <w:spacing w:before="90" w:line="264" w:lineRule="auto"/>
        <w:ind w:left="170" w:right="120"/>
        <w:jc w:val="both"/>
      </w:pPr>
      <w:r>
        <w:rPr>
          <w:i w:val="0"/>
          <w:iCs w:val="0"/>
          <w:sz w:val="20"/>
          <w:szCs w:val="20"/>
        </w:rPr>
        <w:t xml:space="preserve">En esta sección explicamos cómo se construyó la solución y cómo rindió. Las tablas completas están en los Anexos A a J y se citan donde hacen falta.</w:t>
      </w:r>
    </w:p>
    <w:p w14:paraId="423B09B0" w14:textId="77777777" w:rsidR="00B63A85" w:rsidRDefault="00C0062E">
      <w:pPr>
        <w:pStyle w:val="Heading3"/>
        <w:keepNext/>
        <w:numPr>
          <w:ilvl w:val="2"/>
          <w:numId w:val="1"/>
        </w:numPr>
        <w:tabs>
          <w:tab w:val="left" w:pos="840"/>
        </w:tabs>
        <w:spacing w:before="240"/>
        <w:ind w:left="840" w:hanging="670"/>
      </w:pPr>
      <w:bookmarkStart w:id="15" w:name="_Toc241847771"/>
      <w:r>
        <w:t>Datos y hallazgos que cambian el problema</w:t>
      </w:r>
      <w:bookmarkEnd w:id="15"/>
    </w:p>
    <w:p w14:paraId="6DEF8E49" w14:textId="77777777" w:rsidR="00B63A85" w:rsidRDefault="00C0062E">
      <w:pPr>
        <w:pStyle w:val="BodyText"/>
        <w:spacing w:before="90" w:line="264" w:lineRule="auto"/>
        <w:ind w:left="170" w:right="120"/>
        <w:jc w:val="both"/>
      </w:pPr>
      <w:r>
        <w:rPr>
          <w:i w:val="0"/>
          <w:iCs w:val="0"/>
          <w:sz w:val="20"/>
          <w:szCs w:val="20"/>
        </w:rPr>
        <w:t xml:space="preserve">La agenda registra cada ítem de servicio en una fila aparte. Al agruparla por turno aparecen </w:t>
      </w:r>
      <w:r>
        <w:rPr>
          <w:b/>
          <w:bCs/>
          <w:i w:val="0"/>
          <w:iCs w:val="0"/>
          <w:sz w:val="20"/>
          <w:szCs w:val="20"/>
        </w:rPr>
        <w:t xml:space="preserve">222.889 mantenimientos programados completados</w:t>
      </w:r>
      <w:r>
        <w:rPr>
          <w:i w:val="0"/>
          <w:iCs w:val="0"/>
          <w:sz w:val="20"/>
          <w:szCs w:val="20"/>
        </w:rPr>
        <w:t xml:space="preserve">, que es el evento que usamos para saber si un cliente volvió. El análisis exploratorio se dividió en seis temas, y cada cifra se recalculó en una verificación independiente, con código escrito desde cero.</w:t>
      </w:r>
    </w:p>
    <w:p w14:paraId="1A326F32" w14:textId="77777777" w:rsidR="00B63A85" w:rsidRDefault="00C0062E">
      <w:pPr>
        <w:pStyle w:val="BodyText"/>
        <w:spacing w:before="90" w:line="264" w:lineRule="auto"/>
        <w:ind w:left="170" w:right="120"/>
        <w:jc w:val="both"/>
      </w:pPr>
      <w:r>
        <w:rPr>
          <w:i w:val="0"/>
          <w:iCs w:val="0"/>
          <w:sz w:val="20"/>
          <w:szCs w:val="20"/>
        </w:rPr>
        <w:t xml:space="preserve">Hubo cinco hallazgos que nos hicieron replantear el problema (las cifras completas están en el Anexo B):</w:t>
      </w:r>
    </w:p>
    <w:p w14:paraId="1BE0A191" w14:textId="77777777" w:rsidR="00B63A85" w:rsidRDefault="00C0062E">
      <w:pPr>
        <w:pStyle w:val="ListParagraph"/>
        <w:numPr>
          <w:ilvl w:val="0"/>
          <w:numId w:val="2"/>
        </w:numPr>
        <w:spacing w:before="50" w:line="259" w:lineRule="auto"/>
        <w:ind w:right="120"/>
        <w:jc w:val="both"/>
      </w:pPr>
      <w:r>
        <w:rPr>
          <w:b/>
          <w:bCs/>
          <w:sz w:val="20"/>
          <w:szCs w:val="20"/>
        </w:rPr>
        <w:t xml:space="preserve">El plan es por kilómetros.</w:t>
      </w:r>
      <w:r>
        <w:rPr>
          <w:sz w:val="20"/>
          <w:szCs w:val="20"/>
        </w:rPr>
        <w:t xml:space="preserve"> El kilometraje al n-ésimo service se acerca a 16.000 × n en la Ranger P703 y a 10.000 × n en la P375 (Figura 1), que es lo que indica el plan oficial de Ford Argentina. Una Ranger recorre unos 21.500 km por año, así que una regla anual llega tarde: cuando abre la ventana, el 86 % de los clientes ya hizo el service.</w:t>
      </w:r>
    </w:p>
    <w:p w14:paraId="13A2E755" w14:textId="77777777" w:rsidR="00B63A85" w:rsidRDefault="00C0062E">
      <w:pPr>
        <w:pStyle w:val="ListParagraph"/>
        <w:numPr>
          <w:ilvl w:val="0"/>
          <w:numId w:val="2"/>
        </w:numPr>
        <w:spacing w:before="50" w:line="259" w:lineRule="auto"/>
        <w:ind w:right="120"/>
        <w:jc w:val="both"/>
      </w:pPr>
      <w:r>
        <w:rPr>
          <w:b/>
          <w:bCs/>
          <w:sz w:val="20"/>
          <w:szCs w:val="20"/>
        </w:rPr>
        <w:t xml:space="preserve">El primer service es el más frágil.</w:t>
      </w:r>
      <w:r>
        <w:rPr>
          <w:sz w:val="20"/>
          <w:szCs w:val="20"/>
        </w:rPr>
        <w:t xml:space="preserve"> A 12 meses, el primer service pierde al 36 % de los clientes y el segundo, al 25 %. Quien vuelve una vez suele seguir volviendo.</w:t>
      </w:r>
    </w:p>
    <w:p w14:paraId="6B916F6F" w14:textId="77777777" w:rsidR="00B63A85" w:rsidRDefault="00C0062E">
      <w:pPr>
        <w:pStyle w:val="ListParagraph"/>
        <w:numPr>
          <w:ilvl w:val="0"/>
          <w:numId w:val="2"/>
        </w:numPr>
        <w:spacing w:before="50" w:line="259" w:lineRule="auto"/>
        <w:ind w:right="120"/>
        <w:jc w:val="both"/>
      </w:pPr>
      <w:r>
        <w:rPr>
          <w:b/>
          <w:bCs/>
          <w:sz w:val="20"/>
          <w:szCs w:val="20"/>
        </w:rPr>
        <w:t xml:space="preserve">La retención baja a medida que el vehículo envejece.</w:t>
      </w:r>
      <w:r>
        <w:rPr>
          <w:sz w:val="20"/>
          <w:szCs w:val="20"/>
        </w:rPr>
        <w:t xml:space="preserve"> No hay un corte brusco en el tercer año. La caída es gradual, y el salto más grande se da entre el quinto y el sexto año.</w:t>
      </w:r>
    </w:p>
    <w:p w14:paraId="456CE112" w14:textId="77777777" w:rsidR="00B63A85" w:rsidRDefault="00C0062E">
      <w:pPr>
        <w:pStyle w:val="ListParagraph"/>
        <w:numPr>
          <w:ilvl w:val="0"/>
          <w:numId w:val="2"/>
        </w:numPr>
        <w:spacing w:before="50" w:line="259" w:lineRule="auto"/>
        <w:ind w:right="120"/>
        <w:jc w:val="both"/>
      </w:pPr>
      <w:r>
        <w:rPr>
          <w:b/>
          <w:bCs/>
          <w:sz w:val="20"/>
          <w:szCs w:val="20"/>
        </w:rPr>
        <w:t xml:space="preserve">KM y ConnectedStatusARG son fotos del día de extracción.</w:t>
      </w:r>
      <w:r>
        <w:rPr>
          <w:sz w:val="20"/>
          <w:szCs w:val="20"/>
        </w:rPr>
        <w:t xml:space="preserve"> Ese valor aparece copiado en todos los turnos anteriores del vehículo. Si se usaran para predecir el pasado, el modelo vería información que en ese momento no existía, así que las dejamos afuera (sección 2.2.4).</w:t>
      </w:r>
    </w:p>
    <w:p w14:paraId="7D03512B" w14:textId="77777777" w:rsidR="00B63A85" w:rsidRDefault="00C0062E">
      <w:pPr>
        <w:pStyle w:val="ListParagraph"/>
        <w:numPr>
          <w:ilvl w:val="0"/>
          <w:numId w:val="2"/>
        </w:numPr>
        <w:spacing w:before="50" w:line="259" w:lineRule="auto"/>
        <w:ind w:right="120"/>
        <w:jc w:val="both"/>
      </w:pPr>
      <w:r>
        <w:rPr>
          <w:b/>
          <w:bCs/>
          <w:sz w:val="20"/>
          <w:szCs w:val="20"/>
        </w:rPr>
        <w:t xml:space="preserve">Las señales de abandono aparecen antes.</w:t>
      </w:r>
      <w:r>
        <w:rPr>
          <w:sz w:val="20"/>
          <w:szCs w:val="20"/>
        </w:rPr>
        <w:t xml:space="preserve"> La recencia, el ritmo de uso, el atraso respecto del plan, el uso de FordPass y el concesionario distinguen a quien vuelve de quien no. Los no-shows sólo pesan si se los mira junto con la cantidad de turnos. La encuesta de satisfacción no anticipa nada.</w:t>
      </w:r>
    </w:p>
    <w:p w14:paraId="034DD277" w14:textId="77777777" w:rsidR="00B63A85" w:rsidRDefault="00C0062E">
      <w:pPr>
        <w:keepNext/>
        <w:spacing w:before="120"/>
        <w:ind w:left="170"/>
        <w:jc w:val="center"/>
      </w:pPr>
      <w:r>
        <w:rPr>
          <w:noProof/>
        </w:rPr>
        <w:lastRenderedPageBreak/>
        <w:drawing>
          <wp:inline distT="0" distB="0" distL="0" distR="0" wp14:anchorId="3B44F32C" wp14:editId="5F31B91F">
            <wp:extent cx="4699000" cy="1566545"/>
            <wp:effectExtent l="0" t="0" r="0" b="0"/>
            <wp:docPr id="2"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 1"/>
                    <pic:cNvPicPr>
                      <a:picLocks noChangeAspect="1" noChangeArrowheads="1"/>
                    </pic:cNvPicPr>
                  </pic:nvPicPr>
                  <pic:blipFill>
                    <a:blip r:embed="rId18"/>
                    <a:stretch>
                      <a:fillRect/>
                    </a:stretch>
                  </pic:blipFill>
                  <pic:spPr bwMode="auto">
                    <a:xfrm>
                      <a:off x="0" y="0"/>
                      <a:ext cx="4699000" cy="1566545"/>
                    </a:xfrm>
                    <a:prstGeom prst="rect">
                      <a:avLst/>
                    </a:prstGeom>
                  </pic:spPr>
                </pic:pic>
              </a:graphicData>
            </a:graphic>
          </wp:inline>
        </w:drawing>
      </w:r>
    </w:p>
    <w:p w14:paraId="5B8FCBD0" w14:textId="77777777" w:rsidR="00B63A85" w:rsidRDefault="00C0062E">
      <w:pPr>
        <w:pStyle w:val="Caption"/>
        <w:spacing w:before="40" w:after="160"/>
        <w:ind w:left="170" w:right="120"/>
        <w:jc w:val="center"/>
      </w:pPr>
      <w:r>
        <w:rPr>
          <w:sz w:val="16"/>
          <w:szCs w:val="16"/>
        </w:rPr>
        <w:t>Figura 1. Km al n-ésimo service por generación: el plan es 16.000 × n (P703) y 10.000 × n (P375).</w:t>
      </w:r>
    </w:p>
    <w:p w14:paraId="368AC754" w14:textId="77777777" w:rsidR="00B63A85" w:rsidRDefault="00C0062E">
      <w:pPr>
        <w:pStyle w:val="Heading3"/>
        <w:keepNext/>
        <w:numPr>
          <w:ilvl w:val="2"/>
          <w:numId w:val="1"/>
        </w:numPr>
        <w:tabs>
          <w:tab w:val="left" w:pos="840"/>
        </w:tabs>
        <w:spacing w:before="240"/>
        <w:ind w:left="840" w:hanging="670"/>
      </w:pPr>
      <w:bookmarkStart w:id="16" w:name="_Toc241847772"/>
      <w:r>
        <w:t>Población, ventana y target</w:t>
      </w:r>
      <w:bookmarkEnd w:id="16"/>
    </w:p>
    <w:p w14:paraId="050DA70E" w14:textId="77777777" w:rsidR="00B63A85" w:rsidRDefault="00C0062E">
      <w:pPr>
        <w:pStyle w:val="BodyText"/>
        <w:spacing w:before="90" w:line="264" w:lineRule="auto"/>
        <w:ind w:left="170" w:right="120"/>
        <w:jc w:val="both"/>
      </w:pPr>
      <w:r>
        <w:rPr>
          <w:i w:val="0"/>
          <w:iCs w:val="0"/>
          <w:sz w:val="20"/>
          <w:szCs w:val="20"/>
        </w:rPr>
        <w:t xml:space="preserve">La ficha deja las reglas exactas de ventana y horizonte "a validar por modelo/año". Las fijamos a partir de los datos y quedaron como parámetros en config/params.json, para que Posventa pueda cambiarlas sin tocar código.</w:t>
      </w:r>
    </w:p>
    <w:p w14:paraId="77CE66C6" w14:textId="77777777" w:rsidR="00B63A85" w:rsidRDefault="00C0062E">
      <w:pPr>
        <w:pStyle w:val="BodyText"/>
        <w:spacing w:before="90" w:line="264" w:lineRule="auto"/>
        <w:ind w:left="170" w:right="120"/>
        <w:jc w:val="both"/>
      </w:pPr>
      <w:r>
        <w:rPr>
          <w:b/>
          <w:bCs/>
          <w:i w:val="0"/>
          <w:iCs w:val="0"/>
          <w:sz w:val="20"/>
          <w:szCs w:val="20"/>
        </w:rPr>
        <w:t xml:space="preserve">La ventana es propia de cada vehículo.</w:t>
      </w:r>
      <w:r>
        <w:rPr>
          <w:i w:val="0"/>
          <w:iCs w:val="0"/>
          <w:sz w:val="20"/>
          <w:szCs w:val="20"/>
        </w:rPr>
        <w:t xml:space="preserve"> El punto de partida es el último mantenimiento completado, o el inicio de la garantía si todavía no hizo el primero. Con su generación y su ritmo de uso se estima cuándo le toca el próximo; la ventana abre 30 días antes de ese vencimiento y cierra 90 días después.</w:t>
      </w:r>
    </w:p>
    <w:p w14:paraId="4449BDF4" w14:textId="77777777" w:rsidR="00B63A85" w:rsidRDefault="00C0062E">
      <w:pPr>
        <w:pStyle w:val="BodyText"/>
        <w:spacing w:before="90" w:line="264" w:lineRule="auto"/>
        <w:ind w:left="170" w:right="120"/>
        <w:jc w:val="both"/>
      </w:pPr>
      <w:r>
        <w:rPr>
          <w:b/>
          <w:bCs/>
          <w:i w:val="0"/>
          <w:iCs w:val="0"/>
          <w:sz w:val="20"/>
          <w:szCs w:val="20"/>
        </w:rPr>
        <w:t xml:space="preserve">El target es el de la ficha.</w:t>
      </w:r>
      <w:r>
        <w:rPr>
          <w:i w:val="0"/>
          <w:iCs w:val="0"/>
          <w:sz w:val="20"/>
          <w:szCs w:val="20"/>
        </w:rPr>
        <w:t xml:space="preserve"> Churn = 1 si el vehículo no completa el próximo mantenimiento programado en la red oficial entre la apertura y el cierre de su ventana. Las ventanas que no habían cerrado al momento del corte quedan sin etiqueta: son la población que se puntúa hoy.</w:t>
      </w:r>
    </w:p>
    <w:p w14:paraId="5C091594" w14:textId="77777777" w:rsidR="00B63A85" w:rsidRDefault="00C0062E">
      <w:pPr>
        <w:pStyle w:val="BodyText"/>
        <w:spacing w:before="90" w:line="264" w:lineRule="auto"/>
        <w:ind w:left="170" w:right="120"/>
        <w:jc w:val="both"/>
      </w:pPr>
      <w:r>
        <w:rPr>
          <w:i w:val="0"/>
          <w:iCs w:val="0"/>
          <w:sz w:val="20"/>
          <w:szCs w:val="20"/>
        </w:rPr>
        <w:t xml:space="preserve">Así quedan </w:t>
      </w:r>
      <w:r>
        <w:rPr>
          <w:b/>
          <w:bCs/>
          <w:i w:val="0"/>
          <w:iCs w:val="0"/>
          <w:sz w:val="20"/>
          <w:szCs w:val="20"/>
        </w:rPr>
        <w:t xml:space="preserve">142.637 ventanas evaluables</w:t>
      </w:r>
      <w:r>
        <w:rPr>
          <w:i w:val="0"/>
          <w:iCs w:val="0"/>
          <w:sz w:val="20"/>
          <w:szCs w:val="20"/>
        </w:rPr>
        <w:t xml:space="preserve"> entre 2024 y 2026, con un churn de 41,6 %. El Anexo C detalla cada elemento de la definición y por qué lo elegimos.</w:t>
      </w:r>
    </w:p>
    <w:p w14:paraId="638DA3BC" w14:textId="77777777" w:rsidR="00B63A85" w:rsidRDefault="00C0062E">
      <w:pPr>
        <w:pStyle w:val="BodyText"/>
        <w:spacing w:before="90" w:line="264" w:lineRule="auto"/>
        <w:ind w:left="170" w:right="120"/>
        <w:jc w:val="both"/>
      </w:pPr>
      <w:r>
        <w:rPr>
          <w:b/>
          <w:bCs/>
          <w:i w:val="0"/>
          <w:iCs w:val="0"/>
          <w:sz w:val="20"/>
          <w:szCs w:val="20"/>
        </w:rPr>
        <w:t xml:space="preserve">Por qué esta ventana.</w:t>
      </w:r>
      <w:r>
        <w:rPr>
          <w:i w:val="0"/>
          <w:iCs w:val="0"/>
          <w:sz w:val="20"/>
          <w:szCs w:val="20"/>
        </w:rPr>
        <w:t xml:space="preserve"> Probamos 36 combinaciones de parámetros. La regla anual es la que peor se ajusta al parque: el retorno real le cae 200 días tarde (Figura 2). También comparamos nuestra definición con la de una solución desarrollada por separado, que usaba un horizonte de un mes, y la única diferencia de fondo era ese horizonte. Entre el 40 % y el 44 % de los clientes que esa solución contaba como perdidos hacen el service antes de que cierre nuestra ventana: vuelven tarde, pero vuelven. El Anexo C tiene las alternativas y la comparación completa.</w:t>
      </w:r>
    </w:p>
    <w:p w14:paraId="4BCF3C63" w14:textId="77777777" w:rsidR="00B63A85" w:rsidRDefault="00C0062E">
      <w:pPr>
        <w:keepNext/>
        <w:spacing w:before="120"/>
        <w:ind w:left="170"/>
        <w:jc w:val="center"/>
      </w:pPr>
      <w:r>
        <w:rPr>
          <w:noProof/>
        </w:rPr>
        <w:drawing>
          <wp:inline distT="0" distB="0" distL="0" distR="0" wp14:anchorId="1197C7CF" wp14:editId="06D9191C">
            <wp:extent cx="4699000" cy="1566545"/>
            <wp:effectExtent l="0" t="0" r="0" b="0"/>
            <wp:docPr id="3"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 2"/>
                    <pic:cNvPicPr>
                      <a:picLocks noChangeAspect="1" noChangeArrowheads="1"/>
                    </pic:cNvPicPr>
                  </pic:nvPicPr>
                  <pic:blipFill>
                    <a:blip r:embed="rId19"/>
                    <a:stretch>
                      <a:fillRect/>
                    </a:stretch>
                  </pic:blipFill>
                  <pic:spPr bwMode="auto">
                    <a:xfrm>
                      <a:off x="0" y="0"/>
                      <a:ext cx="4699000" cy="1566545"/>
                    </a:xfrm>
                    <a:prstGeom prst="rect">
                      <a:avLst/>
                    </a:prstGeom>
                  </pic:spPr>
                </pic:pic>
              </a:graphicData>
            </a:graphic>
          </wp:inline>
        </w:drawing>
      </w:r>
    </w:p>
    <w:p w14:paraId="684C7AAE" w14:textId="77777777" w:rsidR="00B63A85" w:rsidRDefault="00C0062E">
      <w:pPr>
        <w:pStyle w:val="Caption"/>
        <w:spacing w:before="40" w:after="160"/>
        <w:ind w:left="170" w:right="120"/>
        <w:jc w:val="center"/>
      </w:pPr>
      <w:r>
        <w:rPr>
          <w:sz w:val="16"/>
          <w:szCs w:val="16"/>
        </w:rPr>
        <w:t>Figura 2. Retraso del retorno real respecto del vencimiento estimado, según regla. La regla por generación centra el retorno; la regla anual queda 200 días tarde.</w:t>
      </w:r>
    </w:p>
    <w:p w14:paraId="590B4172" w14:textId="77777777" w:rsidR="00B63A85" w:rsidRDefault="00C0062E">
      <w:pPr>
        <w:pStyle w:val="Heading3"/>
        <w:keepNext/>
        <w:numPr>
          <w:ilvl w:val="2"/>
          <w:numId w:val="1"/>
        </w:numPr>
        <w:tabs>
          <w:tab w:val="left" w:pos="840"/>
        </w:tabs>
        <w:spacing w:before="240"/>
        <w:ind w:left="840" w:hanging="670"/>
      </w:pPr>
      <w:bookmarkStart w:id="17" w:name="_Toc241847773"/>
      <w:r>
        <w:t>Features y seguridad temporal</w:t>
      </w:r>
      <w:bookmarkEnd w:id="17"/>
    </w:p>
    <w:p w14:paraId="1FDAA342" w14:textId="77777777" w:rsidR="00B63A85" w:rsidRDefault="00C0062E">
      <w:pPr>
        <w:pStyle w:val="BodyText"/>
        <w:spacing w:before="90" w:line="264" w:lineRule="auto"/>
        <w:ind w:left="170" w:right="120"/>
        <w:jc w:val="both"/>
      </w:pPr>
      <w:r>
        <w:rPr>
          <w:i w:val="0"/>
          <w:iCs w:val="0"/>
          <w:sz w:val="20"/>
          <w:szCs w:val="20"/>
        </w:rPr>
        <w:t xml:space="preserve">Para construir las variables seguimos una sola regla: si una ventana se evalúa en la fecha t, sólo se usa información anterior a t. En la práctica se resolvió con acumulados por vehículo y uniones temporales estrictas, y un notebook comprueba que ninguna recencia sea menor o igual a cero.</w:t>
      </w:r>
    </w:p>
    <w:p w14:paraId="21B5E396" w14:textId="77777777" w:rsidR="00B63A85" w:rsidRDefault="00C0062E">
      <w:pPr>
        <w:pStyle w:val="BodyText"/>
        <w:spacing w:before="90" w:line="264" w:lineRule="auto"/>
        <w:ind w:left="170" w:right="120"/>
        <w:jc w:val="both"/>
      </w:pPr>
      <w:r>
        <w:rPr>
          <w:i w:val="0"/>
          <w:iCs w:val="0"/>
          <w:sz w:val="20"/>
          <w:szCs w:val="20"/>
        </w:rPr>
        <w:t xml:space="preserve">Con esa regla armamos 86 variables, agrupadas en nueve familias que van de la recencia y la frecuencia de visitas al uso del vehículo, el canal de reserva y el concesionario. La lista completa está en el Anexo D.</w:t>
      </w:r>
    </w:p>
    <w:p w14:paraId="59E8A557" w14:textId="77777777" w:rsidR="00B63A85" w:rsidRDefault="00C0062E">
      <w:pPr>
        <w:pStyle w:val="BodyText"/>
        <w:spacing w:before="90" w:line="264" w:lineRule="auto"/>
        <w:ind w:left="170" w:right="120"/>
        <w:jc w:val="both"/>
      </w:pPr>
      <w:r>
        <w:rPr>
          <w:b/>
          <w:bCs/>
          <w:i w:val="0"/>
          <w:iCs w:val="0"/>
          <w:sz w:val="20"/>
          <w:szCs w:val="20"/>
        </w:rPr>
        <w:t xml:space="preserve">Anti-leakage.</w:t>
      </w:r>
      <w:r>
        <w:rPr>
          <w:i w:val="0"/>
          <w:iCs w:val="0"/>
          <w:sz w:val="20"/>
          <w:szCs w:val="20"/>
        </w:rPr>
        <w:t xml:space="preserve"> Excluimos KM y ConnectedStatusARG, por ser fotos del día de extracción; los turnos futuros, porque el sistema no guarda la fecha en que se creó cada turno (el dato "ya tiene turno" se usa después del modelo, como regla operativa), y ServiceMonth, que es nominal. La historia anterior a 2024 no está en los datos. Para compensarlo usamos la antigüedad, el número de service y los meses de historia observable, y una ablación mostró que esa falta no altera el resultado.</w:t>
      </w:r>
    </w:p>
    <w:p w14:paraId="4D1BEF1E" w14:textId="77777777" w:rsidR="00B63A85" w:rsidRDefault="00C0062E">
      <w:pPr>
        <w:pStyle w:val="Heading3"/>
        <w:keepNext/>
        <w:numPr>
          <w:ilvl w:val="2"/>
          <w:numId w:val="1"/>
        </w:numPr>
        <w:tabs>
          <w:tab w:val="left" w:pos="840"/>
        </w:tabs>
        <w:spacing w:before="240"/>
        <w:ind w:left="840" w:hanging="670"/>
      </w:pPr>
      <w:bookmarkStart w:id="18" w:name="_Toc241847774"/>
      <w:r>
        <w:t>Modelo, validación temporal y calibración</w:t>
      </w:r>
      <w:bookmarkEnd w:id="18"/>
    </w:p>
    <w:p w14:paraId="43B13D0C" w14:textId="77777777" w:rsidR="00B63A85" w:rsidRDefault="00C0062E">
      <w:pPr>
        <w:pStyle w:val="BodyText"/>
        <w:spacing w:before="90" w:line="264" w:lineRule="auto"/>
        <w:ind w:left="170" w:right="120"/>
        <w:jc w:val="both"/>
      </w:pPr>
      <w:r>
        <w:rPr>
          <w:b/>
          <w:bCs/>
          <w:i w:val="0"/>
          <w:iCs w:val="0"/>
          <w:sz w:val="20"/>
          <w:szCs w:val="20"/>
        </w:rPr>
        <w:t xml:space="preserve">El modelo</w:t>
      </w:r>
      <w:r>
        <w:rPr>
          <w:i w:val="0"/>
          <w:iCs w:val="0"/>
          <w:sz w:val="20"/>
          <w:szCs w:val="20"/>
        </w:rPr>
        <w:t xml:space="preserve"> es un LightGBM calibrado. Lo comparamos contra el orden actual (contactar sin priorizar, que equivale al azar), contra una heurística de reglas y contra una regresión logística.</w:t>
      </w:r>
    </w:p>
    <w:p w14:paraId="017FC576" w14:textId="77777777" w:rsidR="00B63A85" w:rsidRDefault="00C0062E">
      <w:pPr>
        <w:pStyle w:val="BodyText"/>
        <w:spacing w:before="90" w:line="264" w:lineRule="auto"/>
        <w:ind w:left="170" w:right="120"/>
        <w:jc w:val="both"/>
      </w:pPr>
      <w:r>
        <w:rPr>
          <w:i w:val="0"/>
          <w:iCs w:val="0"/>
          <w:sz w:val="20"/>
          <w:szCs w:val="20"/>
        </w:rPr>
        <w:t xml:space="preserve">La evaluación separa los períodos por fecha de scoring. El entrenamiento usó ventanas abiertas hasta el 30/09/2025, la calibración el trimestre siguiente y el test 19.709 ventanas de enero a marzo de 2026. Descartamos la validación cruzada aleatoria porque mezcla ventanas de un mismo vehículo y esconde los cambios en la composición del parque. Hay una limitación que conviene aclarar: algunas etiquetas cierran después del corte de su período, y esta versión no purga esos horizontes ni deja un embargo entre entrenamiento, calibración y test. Por eso las métricas son una evaluación temporal retrospectiva, y la validación estricta queda pendiente (Anexo D).</w:t>
      </w:r>
    </w:p>
    <w:p w14:paraId="1DC6FA04" w14:textId="77777777" w:rsidR="00B63A85" w:rsidRDefault="00C0062E">
      <w:pPr>
        <w:pStyle w:val="BodyText"/>
        <w:spacing w:before="90" w:line="264" w:lineRule="auto"/>
        <w:ind w:left="170" w:right="120"/>
        <w:jc w:val="both"/>
      </w:pPr>
      <w:r>
        <w:rPr>
          <w:b/>
          <w:bCs/>
          <w:i w:val="0"/>
          <w:iCs w:val="0"/>
          <w:sz w:val="20"/>
          <w:szCs w:val="20"/>
        </w:rPr>
        <w:t xml:space="preserve">Ordena mucho mejor que hoy.</w:t>
      </w:r>
      <w:r>
        <w:rPr>
          <w:i w:val="0"/>
          <w:iCs w:val="0"/>
          <w:sz w:val="20"/>
          <w:szCs w:val="20"/>
        </w:rPr>
        <w:t xml:space="preserve"> El ROC-AUC es 0,740, contra 0,497 del orden actual, y también supera a la heurística y a la regresión logística. El Anexo E tiene la tabla completa, con PR-AUC, Brier y error de calibración.</w:t>
      </w:r>
    </w:p>
    <w:p w14:paraId="75721D21" w14:textId="77777777" w:rsidR="00B63A85" w:rsidRDefault="00C0062E">
      <w:pPr>
        <w:pStyle w:val="BodyText"/>
        <w:spacing w:before="90" w:line="264" w:lineRule="auto"/>
        <w:ind w:left="170" w:right="120"/>
        <w:jc w:val="both"/>
      </w:pPr>
      <w:r>
        <w:rPr>
          <w:b/>
          <w:bCs/>
          <w:i w:val="0"/>
          <w:iCs w:val="0"/>
          <w:sz w:val="20"/>
          <w:szCs w:val="20"/>
        </w:rPr>
        <w:t xml:space="preserve">Lo que cuenta en la operación es a cuántos de los que se van se llega.</w:t>
      </w:r>
      <w:r>
        <w:rPr>
          <w:i w:val="0"/>
          <w:iCs w:val="0"/>
          <w:sz w:val="20"/>
          <w:szCs w:val="20"/>
        </w:rPr>
        <w:t xml:space="preserve"> Si se contacta al 20 % de mayor riesgo, se alcanza al 36 % de quienes iban a abandonar, 1,8 veces más que hoy (Figura 3). Con 3.000 contactos por mes entre todos los concesionarios, la cobertura llega al 65 %. Otras capacidades están en el Anexo E.</w:t>
      </w:r>
    </w:p>
    <w:p w14:paraId="35D470BD" w14:textId="77777777" w:rsidR="00B63A85" w:rsidRDefault="00C0062E">
      <w:pPr>
        <w:keepNext/>
        <w:spacing w:before="120"/>
        <w:ind w:left="170"/>
        <w:jc w:val="center"/>
      </w:pPr>
      <w:r>
        <w:rPr>
          <w:noProof/>
        </w:rPr>
        <w:drawing>
          <wp:inline distT="0" distB="0" distL="0" distR="0" wp14:anchorId="51A4F088" wp14:editId="3FAC7570">
            <wp:extent cx="4064000" cy="2769235"/>
            <wp:effectExtent l="0" t="0" r="0" b="0"/>
            <wp:docPr id="4"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a 3"/>
                    <pic:cNvPicPr>
                      <a:picLocks noChangeAspect="1" noChangeArrowheads="1"/>
                    </pic:cNvPicPr>
                  </pic:nvPicPr>
                  <pic:blipFill>
                    <a:blip r:embed="rId20"/>
                    <a:stretch>
                      <a:fillRect/>
                    </a:stretch>
                  </pic:blipFill>
                  <pic:spPr bwMode="auto">
                    <a:xfrm>
                      <a:off x="0" y="0"/>
                      <a:ext cx="4064000" cy="2769235"/>
                    </a:xfrm>
                    <a:prstGeom prst="rect">
                      <a:avLst/>
                    </a:prstGeom>
                  </pic:spPr>
                </pic:pic>
              </a:graphicData>
            </a:graphic>
          </wp:inline>
        </w:drawing>
      </w:r>
    </w:p>
    <w:p w14:paraId="31F5DA8D" w14:textId="77777777" w:rsidR="00B63A85" w:rsidRDefault="00C0062E">
      <w:pPr>
        <w:pStyle w:val="Caption"/>
        <w:spacing w:before="40" w:after="160"/>
        <w:ind w:left="170" w:right="120"/>
        <w:jc w:val="center"/>
      </w:pPr>
      <w:r>
        <w:rPr>
          <w:sz w:val="16"/>
          <w:szCs w:val="16"/>
        </w:rPr>
        <w:t>Figura 3. Curva de ganancia en test: porcentaje de los que se van alcanzados según el porcentaje de la población contactada.</w:t>
      </w:r>
    </w:p>
    <w:p w14:paraId="3FCE2F89" w14:textId="77777777" w:rsidR="00B63A85" w:rsidRDefault="00C0062E">
      <w:pPr>
        <w:pStyle w:val="BodyText"/>
        <w:spacing w:before="90" w:line="264" w:lineRule="auto"/>
        <w:ind w:left="170" w:right="120"/>
        <w:jc w:val="both"/>
      </w:pPr>
      <w:r>
        <w:rPr>
          <w:i w:val="0"/>
          <w:iCs w:val="0"/>
          <w:sz w:val="20"/>
          <w:szCs w:val="20"/>
        </w:rPr>
        <w:t xml:space="preserve">Gracias a la calibración, la probabilidad que da el modelo se parece a la tasa de abandono que después se observa. En el test, el error de calibración esperado (ECE) es 0,010, alrededor de un punto porcentual en promedio (Figura 4). Es un promedio sobre esta muestra: no asegura lo que va a pasar con un cliente en particular ni que el error se mantenga igual con datos nuevos.</w:t>
      </w:r>
    </w:p>
    <w:p w14:paraId="64026C37" w14:textId="77777777" w:rsidR="00B63A85" w:rsidRDefault="00C0062E">
      <w:pPr>
        <w:keepNext/>
        <w:spacing w:before="120"/>
        <w:ind w:left="170"/>
        <w:jc w:val="center"/>
      </w:pPr>
      <w:r>
        <w:rPr>
          <w:noProof/>
        </w:rPr>
        <w:lastRenderedPageBreak/>
        <w:drawing>
          <wp:inline distT="0" distB="0" distL="0" distR="0" wp14:anchorId="56220FF8" wp14:editId="73CB8577">
            <wp:extent cx="3175000" cy="3178175"/>
            <wp:effectExtent l="0" t="0" r="0" b="0"/>
            <wp:docPr id="5" nam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a 4"/>
                    <pic:cNvPicPr>
                      <a:picLocks noChangeAspect="1" noChangeArrowheads="1"/>
                    </pic:cNvPicPr>
                  </pic:nvPicPr>
                  <pic:blipFill>
                    <a:blip r:embed="rId21"/>
                    <a:stretch>
                      <a:fillRect/>
                    </a:stretch>
                  </pic:blipFill>
                  <pic:spPr bwMode="auto">
                    <a:xfrm>
                      <a:off x="0" y="0"/>
                      <a:ext cx="3175000" cy="3178175"/>
                    </a:xfrm>
                    <a:prstGeom prst="rect">
                      <a:avLst/>
                    </a:prstGeom>
                  </pic:spPr>
                </pic:pic>
              </a:graphicData>
            </a:graphic>
          </wp:inline>
        </w:drawing>
      </w:r>
    </w:p>
    <w:p w14:paraId="4BFE64D4" w14:textId="77777777" w:rsidR="00B63A85" w:rsidRDefault="00C0062E">
      <w:pPr>
        <w:pStyle w:val="Caption"/>
        <w:spacing w:before="40" w:after="160"/>
        <w:ind w:left="170" w:right="120"/>
        <w:jc w:val="center"/>
      </w:pPr>
      <w:r>
        <w:rPr>
          <w:sz w:val="16"/>
          <w:szCs w:val="16"/>
        </w:rPr>
        <w:t>Figura 4. Probabilidad media estimada frente a tasa observada por decil en el test. ECE = 0,010.</w:t>
      </w:r>
    </w:p>
    <w:p w14:paraId="796EF39A" w14:textId="77777777" w:rsidR="00B63A85" w:rsidRDefault="00C0062E">
      <w:pPr>
        <w:pStyle w:val="BodyText"/>
        <w:spacing w:before="90" w:line="264" w:lineRule="auto"/>
        <w:ind w:left="170" w:right="120"/>
        <w:jc w:val="both"/>
      </w:pPr>
      <w:r>
        <w:rPr>
          <w:i w:val="0"/>
          <w:iCs w:val="0"/>
          <w:sz w:val="20"/>
          <w:szCs w:val="20"/>
        </w:rPr>
        <w:t xml:space="preserve">Con las ablaciones buscamos fugas de información y medimos qué tan estable es el resultado. Sacar grupos de variables o exigir más historia deja el ROC-AUC entre 0,735 y 0,739 (Anexo E). En cambio, usar KM como si fuera el kilometraje de cada visita lo sube a 0,813. Esa mejora viene de información futura y además empeora la calibración, por eso la variable no se usa. Estas pruebas no garantizan que no quede ninguna fuga ni resuelven el solapamiento de horizontes que mencionamos más arriba.</w:t>
      </w:r>
    </w:p>
    <w:p w14:paraId="30844BF0" w14:textId="77777777" w:rsidR="00B63A85" w:rsidRDefault="00C0062E">
      <w:pPr>
        <w:pStyle w:val="Heading3"/>
        <w:keepNext/>
        <w:numPr>
          <w:ilvl w:val="2"/>
          <w:numId w:val="1"/>
        </w:numPr>
        <w:tabs>
          <w:tab w:val="left" w:pos="840"/>
        </w:tabs>
        <w:spacing w:before="240"/>
        <w:ind w:left="840" w:hanging="670"/>
      </w:pPr>
      <w:bookmarkStart w:id="19" w:name="_Toc241847775"/>
      <w:r>
        <w:t>Qué explica el riesgo</w:t>
      </w:r>
      <w:bookmarkEnd w:id="19"/>
    </w:p>
    <w:p w14:paraId="5E620CBA" w14:textId="77777777" w:rsidR="00B63A85" w:rsidRDefault="00C0062E">
      <w:pPr>
        <w:pStyle w:val="BodyText"/>
        <w:spacing w:before="90" w:line="264" w:lineRule="auto"/>
        <w:ind w:left="170" w:right="120"/>
        <w:jc w:val="both"/>
      </w:pPr>
      <w:r>
        <w:rPr>
          <w:i w:val="0"/>
          <w:iCs w:val="0"/>
          <w:sz w:val="20"/>
          <w:szCs w:val="20"/>
        </w:rPr>
        <w:t xml:space="preserve">SHAP muestra cuánto aporta cada variable al score del LightGBM. La importancia global promedia la magnitud de esos aportes en una muestra de 8.000 ventanas del test, y los motivos individuales indican qué pesa más en cada vehículo. Las familias que más explican el riesgo son estas (Anexo E):</w:t>
      </w:r>
    </w:p>
    <w:p w14:paraId="728F33E7" w14:textId="77777777" w:rsidR="00B63A85" w:rsidRDefault="00C0062E">
      <w:pPr>
        <w:pStyle w:val="ListParagraph"/>
        <w:numPr>
          <w:ilvl w:val="0"/>
          <w:numId w:val="2"/>
        </w:numPr>
        <w:spacing w:before="50" w:line="259" w:lineRule="auto"/>
        <w:ind w:right="120"/>
        <w:jc w:val="both"/>
      </w:pPr>
      <w:r>
        <w:rPr>
          <w:b/>
          <w:bCs/>
          <w:sz w:val="20"/>
          <w:szCs w:val="20"/>
        </w:rPr>
        <w:t xml:space="preserve">Ciclo de vida.</w:t>
      </w:r>
      <w:r>
        <w:rPr>
          <w:sz w:val="20"/>
          <w:szCs w:val="20"/>
        </w:rPr>
        <w:t xml:space="preserve"> El riesgo sube con la edad del vehículo y varía según versión y generación.</w:t>
      </w:r>
    </w:p>
    <w:p w14:paraId="7AC71A2D" w14:textId="77777777" w:rsidR="00B63A85" w:rsidRDefault="00C0062E">
      <w:pPr>
        <w:pStyle w:val="ListParagraph"/>
        <w:numPr>
          <w:ilvl w:val="0"/>
          <w:numId w:val="2"/>
        </w:numPr>
        <w:spacing w:before="50" w:line="259" w:lineRule="auto"/>
        <w:ind w:right="120"/>
        <w:jc w:val="both"/>
      </w:pPr>
      <w:r>
        <w:rPr>
          <w:b/>
          <w:bCs/>
          <w:sz w:val="20"/>
          <w:szCs w:val="20"/>
        </w:rPr>
        <w:t xml:space="preserve">Intensidad de la relación.</w:t>
      </w:r>
      <w:r>
        <w:rPr>
          <w:sz w:val="20"/>
          <w:szCs w:val="20"/>
        </w:rPr>
        <w:t xml:space="preserve"> Quien viene seguido sigue viniendo.</w:t>
      </w:r>
    </w:p>
    <w:p w14:paraId="43443AE4" w14:textId="77777777" w:rsidR="00B63A85" w:rsidRDefault="00C0062E">
      <w:pPr>
        <w:pStyle w:val="ListParagraph"/>
        <w:numPr>
          <w:ilvl w:val="0"/>
          <w:numId w:val="2"/>
        </w:numPr>
        <w:spacing w:before="50" w:line="259" w:lineRule="auto"/>
        <w:ind w:right="120"/>
        <w:jc w:val="both"/>
      </w:pPr>
      <w:r>
        <w:rPr>
          <w:b/>
          <w:bCs/>
          <w:sz w:val="20"/>
          <w:szCs w:val="20"/>
        </w:rPr>
        <w:t xml:space="preserve">Uso y atraso.</w:t>
      </w:r>
      <w:r>
        <w:rPr>
          <w:sz w:val="20"/>
          <w:szCs w:val="20"/>
        </w:rPr>
        <w:t xml:space="preserve"> Quien llegó tarde a su último service tiene más probabilidad de no llegar al próximo.</w:t>
      </w:r>
    </w:p>
    <w:p w14:paraId="2B941120" w14:textId="77777777" w:rsidR="00B63A85" w:rsidRDefault="00C0062E">
      <w:pPr>
        <w:pStyle w:val="ListParagraph"/>
        <w:numPr>
          <w:ilvl w:val="0"/>
          <w:numId w:val="2"/>
        </w:numPr>
        <w:spacing w:before="50" w:line="259" w:lineRule="auto"/>
        <w:ind w:right="120"/>
        <w:jc w:val="both"/>
      </w:pPr>
      <w:r>
        <w:rPr>
          <w:b/>
          <w:bCs/>
          <w:sz w:val="20"/>
          <w:szCs w:val="20"/>
        </w:rPr>
        <w:t xml:space="preserve">Flota.</w:t>
      </w:r>
      <w:r>
        <w:rPr>
          <w:sz w:val="20"/>
          <w:szCs w:val="20"/>
        </w:rPr>
        <w:t xml:space="preserve"> Las flotas grandes van menos a los concesionarios oficiales.</w:t>
      </w:r>
    </w:p>
    <w:p w14:paraId="6A61B95C" w14:textId="77777777" w:rsidR="00B63A85" w:rsidRDefault="00C0062E">
      <w:pPr>
        <w:pStyle w:val="ListParagraph"/>
        <w:numPr>
          <w:ilvl w:val="0"/>
          <w:numId w:val="2"/>
        </w:numPr>
        <w:spacing w:before="50" w:line="259" w:lineRule="auto"/>
        <w:ind w:right="120"/>
        <w:jc w:val="both"/>
      </w:pPr>
      <w:r>
        <w:rPr>
          <w:b/>
          <w:sz w:val="20"/>
          <w:szCs w:val="20"/>
        </w:rPr>
        <w:t xml:space="preserve">Concesionario.</w:t>
      </w:r>
      <w:r>
        <w:rPr>
          <w:sz w:val="20"/>
          <w:szCs w:val="20"/>
        </w:rPr>
        <w:t xml:space="preserve"> Marca diferencias de riesgo según dónde se atendió el cliente y sirve para orientar la revisión comercial. No prueba que cambiar de concesionario cambie el resultado.</w:t>
      </w:r>
    </w:p>
    <w:p w14:paraId="4210FC3A" w14:textId="77777777" w:rsidR="00B63A85" w:rsidRDefault="00C0062E">
      <w:pPr>
        <w:pStyle w:val="BodyText"/>
        <w:spacing w:before="90" w:line="264" w:lineRule="auto"/>
        <w:ind w:left="170" w:right="120"/>
        <w:jc w:val="both"/>
      </w:pPr>
      <w:r>
        <w:rPr>
          <w:i w:val="0"/>
          <w:iCs w:val="0"/>
          <w:sz w:val="20"/>
          <w:szCs w:val="20"/>
        </w:rPr>
        <w:t xml:space="preserve">Para cada vehículo se guardan los tres aportes SHAP de mayor magnitud, con su signo: positivo si sube el score de abandono, negativo si lo baja. Están en log-odds del modelo base, antes de la calibración isotónica, así que no son puntos de probabilidad y no suman la probabilidad final. Explican la predicción, no lo que pasaría si se contacta al cliente. Un ejemplo de la población actual es una Ranger 2019 con 76 % de riesgo, siete años de antigüedad, menos de un mantenimiento por año y trece meses entre sus dos últimos services.</w:t>
      </w:r>
    </w:p>
    <w:p w14:paraId="20A915F0" w14:textId="77777777" w:rsidR="00B63A85" w:rsidRDefault="00C0062E">
      <w:pPr>
        <w:pStyle w:val="Heading3"/>
        <w:keepNext/>
        <w:numPr>
          <w:ilvl w:val="2"/>
          <w:numId w:val="1"/>
        </w:numPr>
        <w:tabs>
          <w:tab w:val="left" w:pos="840"/>
        </w:tabs>
        <w:spacing w:before="240"/>
        <w:ind w:left="840" w:hanging="670"/>
      </w:pPr>
      <w:bookmarkStart w:id="20" w:name="_Toc241847776"/>
      <w:r>
        <w:t>Segmentos accionables, activación e integración</w:t>
      </w:r>
      <w:bookmarkEnd w:id="20"/>
    </w:p>
    <w:p w14:paraId="11BB5C00" w14:textId="77777777" w:rsidR="00B63A85" w:rsidRDefault="00C0062E">
      <w:pPr>
        <w:pStyle w:val="BodyText"/>
        <w:spacing w:before="90" w:line="264" w:lineRule="auto"/>
        <w:ind w:left="170" w:right="120"/>
        <w:jc w:val="both"/>
      </w:pPr>
      <w:r>
        <w:rPr>
          <w:i w:val="0"/>
          <w:iCs w:val="0"/>
          <w:sz w:val="20"/>
          <w:szCs w:val="20"/>
        </w:rPr>
        <w:t xml:space="preserve">La primera etapa divide la población en tres grupos según el riesgo. Las tasas de churn de cada grupo se midieron en el test temporal y sirven para definir la estrategia comercial (Anexo F). Quién se contacta finalmente lo decide la segunda etapa:</w:t>
      </w:r>
    </w:p>
    <w:p w14:paraId="5BC52E3C" w14:textId="77777777" w:rsidR="00B63A85" w:rsidRDefault="00C0062E">
      <w:pPr>
        <w:pStyle w:val="ListParagraph"/>
        <w:numPr>
          <w:ilvl w:val="0"/>
          <w:numId w:val="2"/>
        </w:numPr>
        <w:spacing w:before="50" w:line="259" w:lineRule="auto"/>
        <w:ind w:right="120"/>
        <w:jc w:val="both"/>
      </w:pPr>
      <w:r>
        <w:rPr>
          <w:b/>
          <w:bCs/>
          <w:sz w:val="20"/>
          <w:szCs w:val="20"/>
        </w:rPr>
        <w:t xml:space="preserve">Alto:</w:t>
      </w:r>
      <w:r>
        <w:rPr>
          <w:sz w:val="20"/>
          <w:szCs w:val="20"/>
        </w:rPr>
        <w:t xml:space="preserve"> el 20 % de mayor riesgo; en el test, el 78 % no completó el service. Para los seleccionados proponemos un llamado del asesor con una oferta concreta: descuento por continuidad, precio fijo o turno con retiro y entrega. Canal: Service Leads.</w:t>
      </w:r>
    </w:p>
    <w:p w14:paraId="368BA384" w14:textId="77777777" w:rsidR="00B63A85" w:rsidRDefault="00C0062E">
      <w:pPr>
        <w:pStyle w:val="ListParagraph"/>
        <w:numPr>
          <w:ilvl w:val="0"/>
          <w:numId w:val="2"/>
        </w:numPr>
        <w:spacing w:before="50" w:line="259" w:lineRule="auto"/>
        <w:ind w:right="120"/>
        <w:jc w:val="both"/>
      </w:pPr>
      <w:r>
        <w:rPr>
          <w:b/>
          <w:bCs/>
          <w:sz w:val="20"/>
          <w:szCs w:val="20"/>
        </w:rPr>
        <w:t xml:space="preserve">Medio:</w:t>
      </w:r>
      <w:r>
        <w:rPr>
          <w:sz w:val="20"/>
          <w:szCs w:val="20"/>
        </w:rPr>
        <w:t xml:space="preserve"> el 30 % siguiente, con un 47 % que no completó el service en el test. Para los seleccionados, un recordatorio personalizado con turno sugerido por FordPass o WhatsApp, y un segundo mensaje a los 10 días si no agenda.</w:t>
      </w:r>
    </w:p>
    <w:p w14:paraId="260CD220" w14:textId="77777777" w:rsidR="00B63A85" w:rsidRDefault="00C0062E">
      <w:pPr>
        <w:pStyle w:val="ListParagraph"/>
        <w:numPr>
          <w:ilvl w:val="0"/>
          <w:numId w:val="2"/>
        </w:numPr>
        <w:spacing w:before="50" w:line="259" w:lineRule="auto"/>
        <w:ind w:right="120"/>
        <w:jc w:val="both"/>
      </w:pPr>
      <w:r>
        <w:rPr>
          <w:b/>
          <w:bCs/>
          <w:sz w:val="20"/>
          <w:szCs w:val="20"/>
        </w:rPr>
        <w:t xml:space="preserve">Bajo:</w:t>
      </w:r>
      <w:r>
        <w:rPr>
          <w:sz w:val="20"/>
          <w:szCs w:val="20"/>
        </w:rPr>
        <w:t xml:space="preserve"> el 50 % restante, con un 26 % que no completó el service en el test. No entra en la segunda etapa y sigue recibiendo el recordatorio automático de Service Reminder.</w:t>
      </w:r>
    </w:p>
    <w:p w14:paraId="54E5E0ED" w14:textId="77777777" w:rsidR="00B63A85" w:rsidRDefault="00C0062E">
      <w:pPr>
        <w:pStyle w:val="BodyText"/>
        <w:spacing w:before="90" w:line="264" w:lineRule="auto"/>
        <w:ind w:left="170" w:right="120"/>
        <w:jc w:val="both"/>
      </w:pPr>
      <w:r>
        <w:rPr>
          <w:i w:val="0"/>
          <w:iCs w:val="0"/>
          <w:sz w:val="20"/>
          <w:szCs w:val="20"/>
        </w:rPr>
        <w:t xml:space="preserve">Mantenemos la división 20/30/50 para poder auditar lo que dice el modelo. Alto y Medio pasan juntos a la segunda etapa porque un riesgo alto no implica que el cliente vaya a responder a un llamado. Por la misma razón, un score de 1 no se toma como cliente perdido ni lo deja afuera.</w:t>
      </w:r>
    </w:p>
    <w:p w14:paraId="52476744" w14:textId="77777777" w:rsidR="00B63A85" w:rsidRDefault="00C0062E">
      <w:pPr>
        <w:pStyle w:val="Heading3"/>
        <w:keepNext/>
        <w:numPr>
          <w:ilvl w:val="2"/>
          <w:numId w:val="1"/>
        </w:numPr>
        <w:tabs>
          <w:tab w:val="left" w:pos="840"/>
        </w:tabs>
        <w:spacing w:before="240"/>
        <w:ind w:left="840" w:hanging="670"/>
      </w:pPr>
      <w:bookmarkStart w:id="21" w:name="_Toc241847777"/>
      <w:r>
        <w:t>Segundo análisis de prioridad de contacto</w:t>
      </w:r>
      <w:bookmarkEnd w:id="21"/>
    </w:p>
    <w:p w14:paraId="18517B9D" w14:textId="77777777" w:rsidR="00B63A85" w:rsidRDefault="00C0062E">
      <w:pPr>
        <w:pStyle w:val="BodyText"/>
        <w:spacing w:before="90" w:line="264" w:lineRule="auto"/>
        <w:ind w:left="170" w:right="120"/>
        <w:jc w:val="both"/>
      </w:pPr>
      <w:r>
        <w:rPr>
          <w:i w:val="0"/>
          <w:iCs w:val="0"/>
          <w:sz w:val="20"/>
          <w:szCs w:val="20"/>
        </w:rPr>
        <w:t xml:space="preserve">La segunda etapa aplica reglas explícitas sobre Alto y Medio, usando columnas que el scoring ya genera. No se reentrena el modelo ni se calcula otra probabilidad. La probabilidad que se publica sigue siendo prob_churn, el riesgo de no completar el mantenimiento dentro del horizonte.</w:t>
      </w:r>
    </w:p>
    <w:p w14:paraId="08FFFCB2" w14:textId="77777777" w:rsidR="00B63A85" w:rsidRDefault="00C0062E">
      <w:pPr>
        <w:pStyle w:val="BodyText"/>
        <w:spacing w:before="90" w:line="264" w:lineRule="auto"/>
        <w:ind w:left="170" w:right="120"/>
        <w:jc w:val="both"/>
      </w:pPr>
      <w:r>
        <w:rPr>
          <w:i w:val="0"/>
          <w:iCs w:val="0"/>
          <w:sz w:val="20"/>
          <w:szCs w:val="20"/>
        </w:rPr>
        <w:t xml:space="preserve">Un vehículo pasa a Contactar si tiene un customer_id válido, no tiene turno agendado, le quedan al menos 14 días hasta el cierre, tiene algún mantenimiento registrado y un concesionario asociado a su último service. Si le falta historia o concesionario, va a Revisar. El resto queda como Con turno, Sin margen o Sin identificador, según qué le impide entrar en el cupo. El turno agendado puede ser de otro servicio, así que conviene confirmarlo en la agenda antes de actuar.</w:t>
      </w:r>
    </w:p>
    <w:p w14:paraId="5F8DF727" w14:textId="77777777" w:rsidR="00B63A85" w:rsidRDefault="00C0062E">
      <w:pPr>
        <w:pStyle w:val="BodyText"/>
        <w:spacing w:before="90" w:line="264" w:lineRule="auto"/>
        <w:ind w:left="170" w:right="120"/>
        <w:jc w:val="both"/>
      </w:pPr>
      <w:r>
        <w:rPr>
          <w:i w:val="0"/>
          <w:iCs w:val="0"/>
          <w:sz w:val="20"/>
          <w:szCs w:val="20"/>
        </w:rPr>
        <w:t xml:space="preserve">Entre los vehículos habilitados, el orden es el siguiente: primero los que tienen algún motivo SHAP positivo ligado a una señal operativa; después, los que tuvieron un mantenimiento en los últimos 730 días; luego, mayor riesgo y menos días restantes. Los empates se resuelven por identificador, para que el orden sea siempre el mismo. No tener un motivo operativo entre los tres principales no excluye a nadie. Además, esos motivos describen el riesgo y no prueban que cambiar una variable cambie la respuesta del cliente.</w:t>
      </w:r>
    </w:p>
    <w:p w14:paraId="644F7FBD" w14:textId="77777777" w:rsidR="00B63A85" w:rsidRDefault="00C0062E">
      <w:pPr>
        <w:pStyle w:val="BodyText"/>
        <w:spacing w:before="90" w:line="264" w:lineRule="auto"/>
        <w:ind w:left="170" w:right="120"/>
        <w:jc w:val="both"/>
      </w:pPr>
      <w:r>
        <w:rPr>
          <w:i w:val="0"/>
          <w:iCs w:val="0"/>
          <w:sz w:val="20"/>
          <w:szCs w:val="20"/>
        </w:rPr>
        <w:t xml:space="preserve">Por cada customer_id se elige un vehículo habilitado como representante, y el resto de sus unidades y grupos dentro de Alto y Medio queda asociado. Si un cliente tiene una unidad habilitada y otra excluida, lo representa la habilitada aunque tenga menos riesgo. La capacidad por defecto es de 3.000 clientes por corrida y se puede cambiar. Los primeros 3.000 quedan seleccionados y el resto en lista de espera. El cupo se aplica a cada corrida por separado: no descuenta contactos de corridas anteriores ni funciona como límite mensual de campaña.</w:t>
      </w:r>
    </w:p>
    <w:p w14:paraId="58E45711" w14:textId="77777777" w:rsidR="00B63A85" w:rsidRDefault="00C0062E">
      <w:pPr>
        <w:pStyle w:val="BodyText"/>
        <w:spacing w:before="90" w:line="264" w:lineRule="auto"/>
        <w:ind w:left="170" w:right="120"/>
        <w:jc w:val="both"/>
      </w:pPr>
      <w:r>
        <w:rPr>
          <w:i w:val="0"/>
          <w:iCs w:val="0"/>
          <w:sz w:val="20"/>
          <w:szCs w:val="20"/>
        </w:rPr>
        <w:t xml:space="preserve">Cada fila de la lista final trae customer_id, el vehicle_id representativo, fecha, probabilidad entre 0 y 1, grupo original y los tres motivos SHAP, más el estado de contacto, el orden, si entró en el cupo y los motivos operativos. La auditoría por vehículo permite ver por qué un caso entró, quedó pendiente o se descartó. Para saber quién vuelve gracias al contacto hacen falta resultados de contactos reales y un grupo de control; como referencia metodológica, scikit-uplift: https://www.uplift-modeling.com/en/latest/.</w:t>
      </w:r>
    </w:p>
    <w:p w14:paraId="11F2D2FF" w14:textId="77777777" w:rsidR="00B63A85" w:rsidRDefault="00C0062E">
      <w:pPr>
        <w:pStyle w:val="BodyText"/>
        <w:spacing w:before="90" w:line="264" w:lineRule="auto"/>
        <w:ind w:left="170" w:right="120"/>
        <w:jc w:val="both"/>
      </w:pPr>
      <w:r>
        <w:rPr>
          <w:b/>
          <w:i w:val="0"/>
          <w:iCs w:val="0"/>
          <w:sz w:val="20"/>
          <w:szCs w:val="20"/>
        </w:rPr>
        <w:t xml:space="preserve">Cómo se opera.</w:t>
      </w:r>
      <w:r>
        <w:rPr>
          <w:i w:val="0"/>
          <w:iCs w:val="0"/>
          <w:sz w:val="20"/>
          <w:szCs w:val="20"/>
        </w:rPr>
        <w:t xml:space="preserve"> El flujo va de los CSV de ventas y agenda a las ventanas y features, y de ahí al entrenamiento y la calibración, el scoring con SHAP, la segmentación y la segunda etapa. La aplicación muestra la lista final por cliente, la lista inicial completa y la auditoría de la segunda etapa. La integración mensual con los canales de Ford y el reentrenamiento cada tres meses son propuestas: requieren desplegar la solución y validar identidad, consentimiento y turnos en el CRM. Los extractos actuales no tienen teléfonos ni permisos de contacto.</w:t>
      </w:r>
    </w:p>
    <w:p w14:paraId="2B952D85" w14:textId="77777777" w:rsidR="00B63A85" w:rsidRDefault="00C0062E">
      <w:pPr>
        <w:pStyle w:val="Heading3"/>
        <w:keepNext/>
        <w:numPr>
          <w:ilvl w:val="2"/>
          <w:numId w:val="1"/>
        </w:numPr>
        <w:tabs>
          <w:tab w:val="left" w:pos="840"/>
        </w:tabs>
        <w:spacing w:before="240"/>
        <w:ind w:left="840" w:hanging="670"/>
      </w:pPr>
      <w:bookmarkStart w:id="22" w:name="_Toc241847778"/>
      <w:r>
        <w:t>Recompra observable: evidencia complementaria</w:t>
      </w:r>
      <w:bookmarkEnd w:id="22"/>
    </w:p>
    <w:p w14:paraId="15001997" w14:textId="77777777" w:rsidR="00B63A85" w:rsidRDefault="00C0062E">
      <w:pPr>
        <w:pStyle w:val="BodyText"/>
        <w:spacing w:before="90" w:line="264" w:lineRule="auto"/>
        <w:ind w:left="170" w:right="120"/>
        <w:jc w:val="both"/>
      </w:pPr>
      <w:r>
        <w:rPr>
          <w:i w:val="0"/>
          <w:iCs w:val="0"/>
          <w:sz w:val="20"/>
          <w:szCs w:val="20"/>
        </w:rPr>
        <w:t xml:space="preserve">Aunque el target es la retención de service, en el dataset se puede ver la recompra que motiva el desafío: el 20,6 % de las ventas de 2024-2026 corresponde a clientes que ya tenían otra Ranger y la llevaban al service. Con esos casos se podría entrenar un segundo modelo apuntado directamente a la recompra (Anexo G y sección 5).</w:t>
      </w:r>
    </w:p>
    <w:p w14:paraId="3FE27A44" w14:textId="77777777" w:rsidR="00B63A85" w:rsidRDefault="00C0062E">
      <w:pPr>
        <w:pStyle w:val="Heading3"/>
        <w:keepNext/>
        <w:numPr>
          <w:ilvl w:val="2"/>
          <w:numId w:val="1"/>
        </w:numPr>
        <w:tabs>
          <w:tab w:val="left" w:pos="840"/>
        </w:tabs>
        <w:spacing w:before="240"/>
        <w:ind w:left="840" w:hanging="670"/>
      </w:pPr>
      <w:bookmarkStart w:id="23" w:name="_Toc241847779"/>
      <w:r>
        <w:t>Reproducibilidad</w:t>
      </w:r>
      <w:bookmarkEnd w:id="23"/>
    </w:p>
    <w:p w14:paraId="6E795652" w14:textId="77777777" w:rsidR="00B63A85" w:rsidRDefault="00C0062E">
      <w:pPr>
        <w:pStyle w:val="BodyText"/>
        <w:spacing w:before="90" w:line="264" w:lineRule="auto"/>
        <w:ind w:left="170" w:right="120"/>
        <w:jc w:val="both"/>
      </w:pPr>
      <w:r>
        <w:rPr>
          <w:i w:val="0"/>
          <w:iCs w:val="0"/>
          <w:sz w:val="20"/>
          <w:szCs w:val="20"/>
        </w:rPr>
        <w:t xml:space="preserve">El pipeline completo (scripts/run_pipeline.py) lee los CSV, entrena y evalúa el modelo, genera el scoring actual y corre la segunda etapa. Las reglas de ventana, los supuestos de negocio y la política de contacto están en archivos de configuración. Con scripts/run_contacto.py se puede recalcular sólo la segunda etapa a partir de scores_actuales.parquet, sin reentrenar. La aplicación guarda por separado los archivos, resultados y corridas de cada dataset. El resumen de contacto registra la política usada y el hash SHA-256 del scoring de origen, para poder comprobar que la lista salió de ese scoring.</w:t>
      </w:r>
    </w:p>
    <w:p w14:paraId="4AED061C" w14:textId="77777777" w:rsidR="00B63A85" w:rsidRDefault="00C0062E">
      <w:pPr>
        <w:pStyle w:val="Heading3"/>
        <w:keepNext/>
        <w:numPr>
          <w:ilvl w:val="2"/>
          <w:numId w:val="1"/>
        </w:numPr>
        <w:tabs>
          <w:tab w:val="left" w:pos="1080"/>
        </w:tabs>
        <w:spacing w:before="240"/>
        <w:ind w:left="1080" w:hanging="910"/>
      </w:pPr>
      <w:bookmarkStart w:id="24" w:name="_Toc241847780"/>
      <w:r>
        <w:t>Aplicación de uso y seguimiento</w:t>
      </w:r>
      <w:bookmarkEnd w:id="24"/>
    </w:p>
    <w:p w14:paraId="02103F56" w14:textId="77777777" w:rsidR="00B63A85" w:rsidRDefault="00C0062E">
      <w:pPr>
        <w:pStyle w:val="BodyText"/>
        <w:spacing w:before="90" w:line="264" w:lineRule="auto"/>
        <w:ind w:left="170" w:right="120"/>
        <w:jc w:val="both"/>
      </w:pPr>
      <w:r>
        <w:rPr>
          <w:i w:val="0"/>
          <w:iCs w:val="0"/>
          <w:sz w:val="20"/>
          <w:szCs w:val="20"/>
        </w:rPr>
        <w:t xml:space="preserve">La aplicación tiene cuatro secciones en la barra superior. El selector de conjunto de datos está siempre visible y define qué datos, modelo y resultados se muestran en cada una.</w:t>
      </w:r>
    </w:p>
    <w:p w14:paraId="445A6D94" w14:textId="77777777" w:rsidR="00B63A85" w:rsidRDefault="00C0062E">
      <w:pPr>
        <w:pStyle w:val="BodyText"/>
        <w:spacing w:before="90" w:line="264" w:lineRule="auto"/>
        <w:ind w:left="170" w:right="120"/>
        <w:jc w:val="both"/>
      </w:pPr>
      <w:r>
        <w:rPr>
          <w:b/>
          <w:i w:val="0"/>
          <w:iCs w:val="0"/>
          <w:sz w:val="20"/>
          <w:szCs w:val="20"/>
        </w:rPr>
        <w:t xml:space="preserve">Carga de datos.</w:t>
      </w:r>
      <w:r>
        <w:rPr>
          <w:i w:val="0"/>
          <w:iCs w:val="0"/>
          <w:sz w:val="20"/>
          <w:szCs w:val="20"/>
        </w:rPr>
        <w:t xml:space="preserve"> Se le pone un nombre al conjunto y se suben los CSV de ventas y agenda. La aplicación revisa el formato y las columnas, muestra fechas y archivos, y deja seleccionado el conjunto al guardarlo. Las fechas de fin de entrenamiento, fin de calibración y corte tienen que corresponder al período completo del extracto. Se puede pasar de un conjunto guardado a otro sin que se mezclen los resultados.</w:t>
      </w:r>
    </w:p>
    <w:p w14:paraId="5C2AAE78" w14:textId="77777777" w:rsidR="00B63A85" w:rsidRDefault="00C0062E">
      <w:pPr>
        <w:pStyle w:val="BodyText"/>
        <w:spacing w:before="90" w:line="264" w:lineRule="auto"/>
        <w:ind w:left="170" w:right="120"/>
        <w:jc w:val="both"/>
      </w:pPr>
      <w:r>
        <w:rPr>
          <w:b/>
          <w:i w:val="0"/>
          <w:iCs w:val="0"/>
          <w:sz w:val="20"/>
          <w:szCs w:val="20"/>
        </w:rPr>
        <w:t xml:space="preserve">Entrenamiento.</w:t>
      </w:r>
      <w:r>
        <w:rPr>
          <w:i w:val="0"/>
          <w:iCs w:val="0"/>
          <w:sz w:val="20"/>
          <w:szCs w:val="20"/>
        </w:rPr>
        <w:t xml:space="preserve"> Un botón corre la preparación, el entrenamiento, la evaluación y la priorización de contactos. Si los scores ya existen, se puede actualizar sólo la segunda etapa. Mientras corre, la pantalla muestra la etapa, el tiempo transcurrido y el registro en vivo, y permite cancelar. Queda un historial con la duración y el estado de cada ejecución. Sólo puede haber una corrida activa a la vez, y las vistas del conjunto que se está procesando esperan a que termine.</w:t>
      </w:r>
    </w:p>
    <w:p w14:paraId="6C740B0E" w14:textId="77777777" w:rsidR="00B63A85" w:rsidRDefault="00C0062E">
      <w:pPr>
        <w:pStyle w:val="BodyText"/>
        <w:spacing w:before="90" w:line="264" w:lineRule="auto"/>
        <w:ind w:left="170" w:right="120"/>
        <w:jc w:val="both"/>
      </w:pPr>
      <w:r>
        <w:rPr>
          <w:b/>
          <w:i w:val="0"/>
          <w:iCs w:val="0"/>
          <w:sz w:val="20"/>
          <w:szCs w:val="20"/>
        </w:rPr>
        <w:t xml:space="preserve">Resultados.</w:t>
      </w:r>
      <w:r>
        <w:rPr>
          <w:i w:val="0"/>
          <w:iCs w:val="0"/>
          <w:sz w:val="20"/>
          <w:szCs w:val="20"/>
        </w:rPr>
        <w:t xml:space="preserve"> Abre en los clientes que eligió la segunda etapa y separa a los que están en espera, los casos a revisar y las exclusiones. Se puede filtrar por situación, grupo, concesionario e identificador de cliente o vehículo, y volver a los filtros originales. Una descarga baja exactamente lo que está filtrado y otra, todos los seleccionados de la corrida. Las pestañas de auditoría y análisis inicial permiten rastrear la división 20/30/50 y cada vehículo.</w:t>
      </w:r>
    </w:p>
    <w:p w14:paraId="3AD913A5" w14:textId="77777777" w:rsidR="00B63A85" w:rsidRDefault="00C0062E">
      <w:pPr>
        <w:pStyle w:val="BodyText"/>
        <w:spacing w:before="90" w:line="264" w:lineRule="auto"/>
        <w:ind w:left="170" w:right="120"/>
        <w:jc w:val="both"/>
      </w:pPr>
      <w:r>
        <w:rPr>
          <w:i w:val="0"/>
          <w:iCs w:val="0"/>
          <w:sz w:val="20"/>
          <w:szCs w:val="20"/>
        </w:rPr>
        <w:t xml:space="preserve">Además de los campos de la lista final, cada fila muestra el orden global, la situación, el concesionario, los días de margen, los motivos operativos y los vehículos asociados dentro de Alto y Medio. Al abrir un cliente se ven el signo y el valor de sus aportes SHAP y las unidades consolidadas. Filtrar la lista no recalcula el cupo ni cambia el orden global.</w:t>
      </w:r>
    </w:p>
    <w:p w14:paraId="34D368A6" w14:textId="77777777" w:rsidR="00B63A85" w:rsidRDefault="00C0062E">
      <w:pPr>
        <w:pStyle w:val="BodyText"/>
        <w:spacing w:before="90" w:line="264" w:lineRule="auto"/>
        <w:ind w:left="170" w:right="120"/>
        <w:jc w:val="both"/>
      </w:pPr>
      <w:r>
        <w:rPr>
          <w:b/>
          <w:i w:val="0"/>
          <w:iCs w:val="0"/>
          <w:sz w:val="20"/>
          <w:szCs w:val="20"/>
        </w:rPr>
        <w:t xml:space="preserve">Eficiencia del modelo.</w:t>
      </w:r>
      <w:r>
        <w:rPr>
          <w:i w:val="0"/>
          <w:iCs w:val="0"/>
          <w:sz w:val="20"/>
          <w:szCs w:val="20"/>
        </w:rPr>
        <w:t xml:space="preserve"> Tiene cuatro pestañas (Calidad, Tiempos, Controles de datos y SHAP) con las métricas de test, la capacidad de contacto, la calibración, los períodos de evaluación, los tiempos por etapa, los controles de fuga y la importancia global e individual de las variables. La comparación de modelos y las columnas SHAP tienen ayudas al pasar el cursor que explican qué significa cada valor y en qué unidad está. Las tablas y descargas siempre corresponden al conjunto activo.</w:t>
      </w:r>
    </w:p>
    <w:p w14:paraId="2D627BA0" w14:textId="77777777" w:rsidR="00B63A85" w:rsidRDefault="00C0062E">
      <w:pPr>
        <w:pStyle w:val="BodyText"/>
        <w:spacing w:before="90" w:line="264" w:lineRule="auto"/>
        <w:ind w:left="170" w:right="120"/>
        <w:jc w:val="both"/>
      </w:pPr>
      <w:r>
        <w:rPr>
          <w:i w:val="0"/>
          <w:iCs w:val="0"/>
          <w:sz w:val="20"/>
          <w:szCs w:val="20"/>
        </w:rPr>
        <w:t xml:space="preserve">Cada corrida nueva guarda el tiempo total y el de cada etapa en reports/modelo/tiempos_pipeline.json, con inicio, fin, estado y corte. El tiempo incluye lectura, cálculo y exportación; el del entrenamiento suma baselines y calibración, y el del scoring actual incluye su SHAP. Las corridas anteriores, que no registraban tiempos, aparecen como Sin registro o con el total del historial. Si un proceso falla, se guardan los tiempos parciales marcados como tales.</w:t>
      </w:r>
    </w:p>
    <w:p w14:paraId="362D825E" w14:textId="77777777" w:rsidR="00B63A85" w:rsidRDefault="00C0062E">
      <w:pPr>
        <w:pStyle w:val="BodyText"/>
        <w:spacing w:before="90" w:line="264" w:lineRule="auto"/>
        <w:ind w:left="170" w:right="120"/>
        <w:jc w:val="both"/>
      </w:pPr>
      <w:r>
        <w:rPr>
          <w:i w:val="0"/>
          <w:iCs w:val="0"/>
          <w:sz w:val="20"/>
          <w:szCs w:val="20"/>
        </w:rPr>
        <w:t xml:space="preserve">Los controles de leakage muestran la exclusión de snapshots, que los eventos sean previos al scoring, la separación temporal y los horizontes que cruzan cortes, junto con las ablaciones disponibles. Son evidencia parcial y no certifican que no haya fugas. La vista SHAP ordena las variables por magnitud media en log-odds y permite buscar un vehicle_id o window_id en la muestra de test y descargar el resultado filtrado.</w:t>
      </w:r>
    </w:p>
    <w:p w14:paraId="3FF17CE7" w14:textId="77777777" w:rsidR="00B63A85" w:rsidRDefault="00C0062E">
      <w:pPr>
        <w:pStyle w:val="Heading3"/>
        <w:keepNext/>
        <w:numPr>
          <w:ilvl w:val="2"/>
          <w:numId w:val="1"/>
        </w:numPr>
        <w:tabs>
          <w:tab w:val="left" w:pos="1080"/>
        </w:tabs>
        <w:ind w:left="1080" w:hanging="910"/>
      </w:pPr>
      <w:bookmarkStart w:id="25" w:name="Información_Complementaria"/>
      <w:bookmarkStart w:id="26" w:name="_bookmark5"/>
      <w:bookmarkStart w:id="27" w:name="_Toc241847781"/>
      <w:bookmarkEnd w:id="25"/>
      <w:bookmarkEnd w:id="26"/>
      <w:r>
        <w:rPr>
          <w:spacing w:val="-7"/>
        </w:rPr>
        <w:t>Información</w:t>
      </w:r>
      <w:r>
        <w:rPr>
          <w:spacing w:val="23"/>
        </w:rPr>
        <w:t xml:space="preserve"> </w:t>
      </w:r>
      <w:r>
        <w:rPr>
          <w:spacing w:val="-2"/>
        </w:rPr>
        <w:t>Complementaria</w:t>
      </w:r>
      <w:bookmarkEnd w:id="27"/>
    </w:p>
    <w:p w14:paraId="2E518029" w14:textId="77777777" w:rsidR="00B63A85" w:rsidRDefault="00C0062E">
      <w:pPr>
        <w:pStyle w:val="BodyText"/>
        <w:spacing w:before="90" w:line="264" w:lineRule="auto"/>
        <w:ind w:left="170" w:right="120"/>
        <w:jc w:val="both"/>
      </w:pPr>
      <w:r>
        <w:rPr>
          <w:i w:val="0"/>
          <w:iCs w:val="0"/>
          <w:sz w:val="20"/>
          <w:szCs w:val="20"/>
        </w:rPr>
        <w:t xml:space="preserve">El .zip que acompaña este informe trae lo que no entra en el documento:</w:t>
      </w:r>
    </w:p>
    <w:p w14:paraId="07AE815C" w14:textId="77777777" w:rsidR="00B63A85" w:rsidRDefault="00C0062E">
      <w:pPr>
        <w:pStyle w:val="ListParagraph"/>
        <w:numPr>
          <w:ilvl w:val="0"/>
          <w:numId w:val="2"/>
        </w:numPr>
        <w:spacing w:before="50" w:line="259" w:lineRule="auto"/>
        <w:ind w:right="120"/>
        <w:jc w:val="both"/>
      </w:pPr>
      <w:r>
        <w:rPr>
          <w:b/>
          <w:bCs/>
          <w:sz w:val="20"/>
          <w:szCs w:val="20"/>
        </w:rPr>
        <w:t xml:space="preserve">Dataset analítico documentado y definición reproducible del target</w:t>
      </w:r>
      <w:r>
        <w:rPr>
          <w:sz w:val="20"/>
          <w:szCs w:val="20"/>
        </w:rPr>
        <w:t xml:space="preserve">: config/params.json, src/repurchase/ventanas.py y los informes del análisis exploratorio en reports/eda/.</w:t>
      </w:r>
    </w:p>
    <w:p w14:paraId="4CA55F71" w14:textId="77777777" w:rsidR="00B63A85" w:rsidRDefault="00C0062E">
      <w:pPr>
        <w:pStyle w:val="ListParagraph"/>
        <w:numPr>
          <w:ilvl w:val="0"/>
          <w:numId w:val="2"/>
        </w:numPr>
        <w:spacing w:before="50" w:line="259" w:lineRule="auto"/>
        <w:ind w:right="120"/>
        <w:jc w:val="both"/>
      </w:pPr>
      <w:r>
        <w:rPr>
          <w:b/>
          <w:bCs/>
          <w:sz w:val="20"/>
          <w:szCs w:val="20"/>
        </w:rPr>
        <w:t xml:space="preserve">Pipeline de features, modelo entrenado y evaluación temporal</w:t>
      </w:r>
      <w:r>
        <w:rPr>
          <w:sz w:val="20"/>
          <w:szCs w:val="20"/>
        </w:rPr>
        <w:t xml:space="preserve">: src/repurchase/, scripts/run_pipeline.py, data/models/ (modelo, calibrador, métricas) y reports/modelo/ (resumen de la corrida, lift por decil, calibración, ROI, sensibilidad, ablaciones).</w:t>
      </w:r>
    </w:p>
    <w:p w14:paraId="7F4B54A7" w14:textId="77777777" w:rsidR="00B63A85" w:rsidRDefault="00C0062E">
      <w:pPr>
        <w:pStyle w:val="ListParagraph"/>
        <w:numPr>
          <w:ilvl w:val="0"/>
          <w:numId w:val="2"/>
        </w:numPr>
        <w:spacing w:before="50" w:line="259" w:lineRule="auto"/>
        <w:ind w:right="120"/>
        <w:jc w:val="both"/>
      </w:pPr>
      <w:r>
        <w:rPr>
          <w:b/>
          <w:sz w:val="20"/>
          <w:szCs w:val="20"/>
        </w:rPr>
        <w:t xml:space="preserve">Explicación global e individual</w:t>
      </w:r>
      <w:r>
        <w:rPr>
          <w:sz w:val="20"/>
          <w:szCs w:val="20"/>
        </w:rPr>
        <w:t xml:space="preserve">: data/models/shap_global.csv tiene mean_abs_shap_logodds en su unidad original; data/models/test_drivers_muestra.parquet guarda los motivos del test, y el scoring actual conserva los tres drivers de cada vehículo. La Figura 7 y el dashboard muestran la magnitud SHAP en log-odds.</w:t>
      </w:r>
    </w:p>
    <w:p w14:paraId="07FB8C5F" w14:textId="77777777" w:rsidR="00B63A85" w:rsidRDefault="00C0062E">
      <w:pPr>
        <w:pStyle w:val="ListParagraph"/>
        <w:numPr>
          <w:ilvl w:val="0"/>
          <w:numId w:val="2"/>
        </w:numPr>
        <w:spacing w:before="50" w:line="259" w:lineRule="auto"/>
        <w:ind w:right="120"/>
        <w:jc w:val="both"/>
      </w:pPr>
      <w:r>
        <w:rPr>
          <w:b/>
          <w:bCs/>
          <w:sz w:val="20"/>
          <w:szCs w:val="20"/>
        </w:rPr>
        <w:t xml:space="preserve">Resultados de ambas etapas</w:t>
      </w:r>
      <w:r>
        <w:rPr>
          <w:sz w:val="20"/>
          <w:szCs w:val="20"/>
        </w:rPr>
        <w:t xml:space="preserve">: data/processed/scores_actuales.csv tiene el scoring por vehículo; candidatos_contacto.csv, la auditoría de Alto y Medio; contactos_por_cliente.csv, la lista final consolidada, y contacto_resumen.json, las cantidades y la política aplicada.</w:t>
      </w:r>
    </w:p>
    <w:p w14:paraId="5844DC2C" w14:textId="77777777" w:rsidR="00B63A85" w:rsidRDefault="00C0062E">
      <w:pPr>
        <w:pStyle w:val="ListParagraph"/>
        <w:numPr>
          <w:ilvl w:val="0"/>
          <w:numId w:val="2"/>
        </w:numPr>
        <w:spacing w:before="50" w:line="259" w:lineRule="auto"/>
        <w:ind w:right="120"/>
        <w:jc w:val="both"/>
      </w:pPr>
      <w:r>
        <w:rPr>
          <w:b/>
          <w:sz w:val="20"/>
          <w:szCs w:val="20"/>
        </w:rPr>
        <w:t xml:space="preserve">Aplicación</w:t>
      </w:r>
      <w:r>
        <w:rPr>
          <w:sz w:val="20"/>
          <w:szCs w:val="20"/>
        </w:rPr>
        <w:t xml:space="preserve">: webapp/, con las secciones Carga de datos, Entrenamiento, Resultados y Eficiencia del modelo. Incluye selección de datasets, auditoría, filtros, descargas y explicación por cliente.</w:t>
      </w:r>
    </w:p>
    <w:p w14:paraId="64BF5EA5" w14:textId="77777777" w:rsidR="00B63A85" w:rsidRDefault="00C0062E">
      <w:pPr>
        <w:pStyle w:val="ListParagraph"/>
        <w:numPr>
          <w:ilvl w:val="0"/>
          <w:numId w:val="2"/>
        </w:numPr>
        <w:spacing w:before="50" w:line="259" w:lineRule="auto"/>
        <w:ind w:right="120"/>
        <w:jc w:val="both"/>
      </w:pPr>
      <w:r>
        <w:rPr>
          <w:b/>
          <w:bCs/>
          <w:sz w:val="20"/>
          <w:szCs w:val="20"/>
        </w:rPr>
        <w:t xml:space="preserve">Evidencia</w:t>
      </w:r>
      <w:r>
        <w:rPr>
          <w:sz w:val="20"/>
          <w:szCs w:val="20"/>
        </w:rPr>
        <w:t xml:space="preserve">: reports/eda/ (seis análisis, cada uno con su verificación independiente) y notebooks/ (tres notebooks ejecutados).</w:t>
      </w:r>
    </w:p>
    <w:p w14:paraId="1C9ED7E7" w14:textId="77777777" w:rsidR="00B63A85" w:rsidRDefault="00C0062E">
      <w:pPr>
        <w:pStyle w:val="BodyText"/>
        <w:spacing w:before="90" w:line="264" w:lineRule="auto"/>
        <w:ind w:left="170" w:right="120"/>
        <w:jc w:val="both"/>
      </w:pPr>
      <w:r>
        <w:rPr>
          <w:i w:val="0"/>
          <w:iCs w:val="0"/>
          <w:sz w:val="20"/>
          <w:szCs w:val="20"/>
        </w:rPr>
        <w:t xml:space="preserve">Los Anexos, al final del documento, reúnen la evidencia completa: datos recibidos (A), hallazgos con todas sus cifras (B), definición de la ventana y alternativas descartadas (C), features y validación (D), resultados completos y ablaciones (E), segmentos y formato de integración (F), recompra observable (G), impacto según capacidad de contacto (H), preguntas abiertas para Ford (I) y reproducibilidad (J). En reports/figures/ hay más figuras: curvas del primer service de la cohorte 2024, precisión-recall, segmentos, distribución de intervalos, tasa de uso, estacionalidad, identidad y flotas, censura a la izquierda y snapshot de conectividad.</w:t>
      </w:r>
    </w:p>
    <w:p w14:paraId="14CD8B58" w14:textId="77777777" w:rsidR="00B63A85" w:rsidRDefault="00C0062E">
      <w:pPr>
        <w:pStyle w:val="Heading2"/>
        <w:keepNext/>
        <w:numPr>
          <w:ilvl w:val="1"/>
          <w:numId w:val="1"/>
        </w:numPr>
        <w:tabs>
          <w:tab w:val="left" w:pos="615"/>
        </w:tabs>
        <w:spacing w:before="293"/>
        <w:ind w:left="615" w:hanging="445"/>
      </w:pPr>
      <w:bookmarkStart w:id="28" w:name="Seguridad_y_Ergonomía"/>
      <w:bookmarkStart w:id="29" w:name="_bookmark6"/>
      <w:bookmarkStart w:id="30" w:name="_Toc241847782"/>
      <w:bookmarkEnd w:id="28"/>
      <w:bookmarkEnd w:id="29"/>
      <w:r>
        <w:rPr>
          <w:w w:val="105"/>
        </w:rPr>
        <w:lastRenderedPageBreak/>
        <w:t>Seguridad</w:t>
      </w:r>
      <w:r>
        <w:rPr>
          <w:spacing w:val="23"/>
          <w:w w:val="105"/>
        </w:rPr>
        <w:t xml:space="preserve"> y Privacidad</w:t>
      </w:r>
      <w:bookmarkEnd w:id="30"/>
    </w:p>
    <w:p w14:paraId="2C675AF4" w14:textId="77777777" w:rsidR="00B63A85" w:rsidRDefault="00C0062E">
      <w:pPr>
        <w:pStyle w:val="BodyText"/>
        <w:spacing w:before="90" w:line="264" w:lineRule="auto"/>
        <w:ind w:left="170" w:right="120"/>
        <w:jc w:val="both"/>
      </w:pPr>
      <w:r>
        <w:rPr>
          <w:i w:val="0"/>
          <w:iCs w:val="0"/>
          <w:sz w:val="20"/>
          <w:szCs w:val="20"/>
        </w:rPr>
        <w:t xml:space="preserve">La solución no agrega riesgos de ciberseguridad nuevos. Corre dentro del entorno analítico que Ford ya usa (GCP BigQuery y Python), no expone endpoints externos, no manda datos a terceros y no usa modelos generativos ni texto libre para calcular el riesgo. La revisamos contra los marcos de referencia habituales: la </w:t>
      </w:r>
      <w:r>
        <w:rPr>
          <w:b/>
          <w:bCs/>
          <w:i w:val="0"/>
          <w:iCs w:val="0"/>
          <w:sz w:val="20"/>
          <w:szCs w:val="20"/>
        </w:rPr>
        <w:t xml:space="preserve">Ley 25.326 de Protección de Datos Personales</w:t>
      </w:r>
      <w:r>
        <w:rPr>
          <w:i w:val="0"/>
          <w:iCs w:val="0"/>
          <w:sz w:val="20"/>
          <w:szCs w:val="20"/>
        </w:rPr>
        <w:t xml:space="preserve"> y su autoridad de aplicación (AAIP), </w:t>
      </w:r>
      <w:r>
        <w:rPr>
          <w:b/>
          <w:bCs/>
          <w:i w:val="0"/>
          <w:iCs w:val="0"/>
          <w:sz w:val="20"/>
          <w:szCs w:val="20"/>
        </w:rPr>
        <w:t xml:space="preserve">ISO/IEC 27001</w:t>
      </w:r>
      <w:r>
        <w:rPr>
          <w:i w:val="0"/>
          <w:iCs w:val="0"/>
          <w:sz w:val="20"/>
          <w:szCs w:val="20"/>
        </w:rPr>
        <w:t xml:space="preserve"> (gestión de seguridad de la información), el </w:t>
      </w:r>
      <w:r>
        <w:rPr>
          <w:b/>
          <w:bCs/>
          <w:i w:val="0"/>
          <w:iCs w:val="0"/>
          <w:sz w:val="20"/>
          <w:szCs w:val="20"/>
        </w:rPr>
        <w:t xml:space="preserve">NIST Cybersecurity Framework 2.0</w:t>
      </w:r>
      <w:r>
        <w:rPr>
          <w:i w:val="0"/>
          <w:iCs w:val="0"/>
          <w:sz w:val="20"/>
          <w:szCs w:val="20"/>
        </w:rPr>
        <w:t xml:space="preserve">, el </w:t>
      </w:r>
      <w:r>
        <w:rPr>
          <w:b/>
          <w:bCs/>
          <w:i w:val="0"/>
          <w:iCs w:val="0"/>
          <w:sz w:val="20"/>
          <w:szCs w:val="20"/>
        </w:rPr>
        <w:t xml:space="preserve">NIST AI Risk Management Framework</w:t>
      </w:r>
      <w:r>
        <w:rPr>
          <w:i w:val="0"/>
          <w:iCs w:val="0"/>
          <w:sz w:val="20"/>
          <w:szCs w:val="20"/>
        </w:rPr>
        <w:t xml:space="preserve"> (riesgos propios de los sistemas de IA) y las listas de riesgos de </w:t>
      </w:r>
      <w:r>
        <w:rPr>
          <w:b/>
          <w:bCs/>
          <w:i w:val="0"/>
          <w:iCs w:val="0"/>
          <w:sz w:val="20"/>
          <w:szCs w:val="20"/>
        </w:rPr>
        <w:t xml:space="preserve">OWASP</w:t>
      </w:r>
      <w:r>
        <w:rPr>
          <w:i w:val="0"/>
          <w:iCs w:val="0"/>
          <w:sz w:val="20"/>
          <w:szCs w:val="20"/>
        </w:rPr>
        <w:t xml:space="preserve"> para machine learning.</w:t>
      </w:r>
    </w:p>
    <w:tbl>
      <w:tblPr>
        <w:tblW w:w="8598" w:type="dxa"/>
        <w:tblInd w:w="170" w:type="dxa"/>
        <w:tblLayout w:type="fixed"/>
        <w:tblCellMar>
          <w:left w:w="60" w:type="dxa"/>
          <w:right w:w="60" w:type="dxa"/>
        </w:tblCellMar>
        <w:tblLook w:val="04A0" w:firstRow="1" w:lastRow="0" w:firstColumn="1" w:lastColumn="0" w:noHBand="0" w:noVBand="1"/>
      </w:tblPr>
      <w:tblGrid>
        <w:gridCol w:w="2840"/>
        <w:gridCol w:w="2880"/>
        <w:gridCol w:w="2878"/>
      </w:tblGrid>
      <w:tr w:rsidR="00B63A85" w14:paraId="19C36ADF" w14:textId="77777777">
        <w:trPr>
          <w:cantSplit/>
          <w:tblHeader/>
        </w:trPr>
        <w:tc>
          <w:tcPr>
            <w:tcW w:w="2840" w:type="dxa"/>
            <w:tcBorders>
              <w:top w:val="single" w:sz="4" w:space="0" w:color="7F7F7F"/>
              <w:left w:val="single" w:sz="4" w:space="0" w:color="7F7F7F"/>
              <w:bottom w:val="single" w:sz="4" w:space="0" w:color="7F7F7F"/>
              <w:right w:val="single" w:sz="4" w:space="0" w:color="7F7F7F"/>
            </w:tcBorders>
            <w:shd w:val="clear" w:color="auto" w:fill="EDEDED"/>
          </w:tcPr>
          <w:p w14:paraId="14190E06" w14:textId="77777777" w:rsidR="00B63A85" w:rsidRDefault="00C0062E">
            <w:pPr>
              <w:pStyle w:val="TableParagraph"/>
              <w:keepNext/>
              <w:spacing w:before="20" w:after="20" w:line="218" w:lineRule="auto"/>
              <w:ind w:left="40"/>
            </w:pPr>
            <w:r>
              <w:rPr>
                <w:b/>
                <w:bCs/>
                <w:sz w:val="17"/>
                <w:szCs w:val="17"/>
              </w:rPr>
              <w:t>Riesgo</w:t>
            </w:r>
          </w:p>
        </w:tc>
        <w:tc>
          <w:tcPr>
            <w:tcW w:w="2880" w:type="dxa"/>
            <w:tcBorders>
              <w:top w:val="single" w:sz="4" w:space="0" w:color="7F7F7F"/>
              <w:left w:val="single" w:sz="4" w:space="0" w:color="7F7F7F"/>
              <w:bottom w:val="single" w:sz="4" w:space="0" w:color="7F7F7F"/>
              <w:right w:val="single" w:sz="4" w:space="0" w:color="7F7F7F"/>
            </w:tcBorders>
            <w:shd w:val="clear" w:color="auto" w:fill="EDEDED"/>
          </w:tcPr>
          <w:p w14:paraId="203BA551" w14:textId="77777777" w:rsidR="00B63A85" w:rsidRDefault="00C0062E">
            <w:pPr>
              <w:pStyle w:val="TableParagraph"/>
              <w:keepNext/>
              <w:spacing w:before="20" w:after="20" w:line="218" w:lineRule="auto"/>
              <w:ind w:left="40"/>
            </w:pPr>
            <w:r>
              <w:rPr>
                <w:b/>
                <w:bCs/>
                <w:sz w:val="17"/>
                <w:szCs w:val="17"/>
              </w:rPr>
              <w:t>Evaluación</w:t>
            </w:r>
          </w:p>
        </w:tc>
        <w:tc>
          <w:tcPr>
            <w:tcW w:w="2878" w:type="dxa"/>
            <w:tcBorders>
              <w:top w:val="single" w:sz="4" w:space="0" w:color="7F7F7F"/>
              <w:left w:val="single" w:sz="4" w:space="0" w:color="7F7F7F"/>
              <w:bottom w:val="single" w:sz="4" w:space="0" w:color="7F7F7F"/>
              <w:right w:val="single" w:sz="4" w:space="0" w:color="7F7F7F"/>
            </w:tcBorders>
            <w:shd w:val="clear" w:color="auto" w:fill="EDEDED"/>
          </w:tcPr>
          <w:p w14:paraId="2B41E38D" w14:textId="77777777" w:rsidR="00B63A85" w:rsidRDefault="00C0062E">
            <w:pPr>
              <w:pStyle w:val="TableParagraph"/>
              <w:keepNext/>
              <w:spacing w:before="20" w:after="20" w:line="218" w:lineRule="auto"/>
              <w:ind w:left="40"/>
            </w:pPr>
            <w:r>
              <w:rPr>
                <w:b/>
                <w:bCs/>
                <w:sz w:val="17"/>
                <w:szCs w:val="17"/>
              </w:rPr>
              <w:t>Mitigación</w:t>
            </w:r>
          </w:p>
        </w:tc>
      </w:tr>
      <w:tr w:rsidR="00B63A85" w14:paraId="197AFA49" w14:textId="77777777">
        <w:trPr>
          <w:cantSplit/>
        </w:trPr>
        <w:tc>
          <w:tcPr>
            <w:tcW w:w="2840" w:type="dxa"/>
            <w:tcBorders>
              <w:top w:val="single" w:sz="4" w:space="0" w:color="7F7F7F"/>
              <w:left w:val="single" w:sz="4" w:space="0" w:color="7F7F7F"/>
              <w:bottom w:val="single" w:sz="4" w:space="0" w:color="7F7F7F"/>
              <w:right w:val="single" w:sz="4" w:space="0" w:color="7F7F7F"/>
            </w:tcBorders>
          </w:tcPr>
          <w:p w14:paraId="78E7ADE5" w14:textId="77777777" w:rsidR="00B63A85" w:rsidRDefault="00C0062E">
            <w:pPr>
              <w:pStyle w:val="TableParagraph"/>
              <w:spacing w:before="20" w:after="20" w:line="218" w:lineRule="auto"/>
              <w:ind w:left="40"/>
            </w:pPr>
            <w:r>
              <w:rPr>
                <w:sz w:val="17"/>
                <w:szCs w:val="17"/>
              </w:rPr>
              <w:t>Reidentificación de personas a partir de los IDs</w:t>
            </w:r>
          </w:p>
        </w:tc>
        <w:tc>
          <w:tcPr>
            <w:tcW w:w="2880" w:type="dxa"/>
            <w:tcBorders>
              <w:top w:val="single" w:sz="4" w:space="0" w:color="7F7F7F"/>
              <w:left w:val="single" w:sz="4" w:space="0" w:color="7F7F7F"/>
              <w:bottom w:val="single" w:sz="4" w:space="0" w:color="7F7F7F"/>
              <w:right w:val="single" w:sz="4" w:space="0" w:color="7F7F7F"/>
            </w:tcBorders>
          </w:tcPr>
          <w:p w14:paraId="6B0735EE" w14:textId="77777777" w:rsidR="00B63A85" w:rsidRDefault="00C0062E">
            <w:pPr>
              <w:pStyle w:val="TableParagraph"/>
              <w:spacing w:before="20" w:after="20" w:line="218" w:lineRule="auto"/>
              <w:ind w:left="40"/>
            </w:pPr>
            <w:r>
              <w:rPr>
                <w:sz w:val="17"/>
                <w:szCs w:val="17"/>
              </w:rPr>
              <w:t>Bajo. Los datos llegan seudonimizados con hash salado cuyo salt no se comparte; no hay VIN, documento, nombre, contacto, patente ni dealer real.</w:t>
            </w:r>
          </w:p>
        </w:tc>
        <w:tc>
          <w:tcPr>
            <w:tcW w:w="2878" w:type="dxa"/>
            <w:tcBorders>
              <w:top w:val="single" w:sz="4" w:space="0" w:color="7F7F7F"/>
              <w:left w:val="single" w:sz="4" w:space="0" w:color="7F7F7F"/>
              <w:bottom w:val="single" w:sz="4" w:space="0" w:color="7F7F7F"/>
              <w:right w:val="single" w:sz="4" w:space="0" w:color="7F7F7F"/>
            </w:tcBorders>
          </w:tcPr>
          <w:p w14:paraId="0EACE286" w14:textId="77777777" w:rsidR="00B63A85" w:rsidRDefault="00C0062E">
            <w:pPr>
              <w:pStyle w:val="TableParagraph"/>
              <w:spacing w:before="20" w:after="20" w:line="218" w:lineRule="auto"/>
              <w:ind w:left="40"/>
            </w:pPr>
            <w:r>
              <w:rPr>
                <w:sz w:val="17"/>
                <w:szCs w:val="17"/>
              </w:rPr>
              <w:t>El pipeline nunca intenta desanonimizar; el output usa los mismos IDs seudonimizados y la resolución a un contacto real ocurre sólo dentro del CRM de Ford, con control de acceso.</w:t>
            </w:r>
          </w:p>
        </w:tc>
      </w:tr>
      <w:tr w:rsidR="00B63A85" w14:paraId="4DF3EE2C" w14:textId="77777777">
        <w:trPr>
          <w:cantSplit/>
        </w:trPr>
        <w:tc>
          <w:tcPr>
            <w:tcW w:w="2840" w:type="dxa"/>
            <w:tcBorders>
              <w:top w:val="single" w:sz="4" w:space="0" w:color="7F7F7F"/>
              <w:left w:val="single" w:sz="4" w:space="0" w:color="7F7F7F"/>
              <w:bottom w:val="single" w:sz="4" w:space="0" w:color="7F7F7F"/>
              <w:right w:val="single" w:sz="4" w:space="0" w:color="7F7F7F"/>
            </w:tcBorders>
          </w:tcPr>
          <w:p w14:paraId="1DE08090" w14:textId="77777777" w:rsidR="00B63A85" w:rsidRDefault="00C0062E">
            <w:pPr>
              <w:pStyle w:val="TableParagraph"/>
              <w:spacing w:before="20" w:after="20" w:line="218" w:lineRule="auto"/>
              <w:ind w:left="40"/>
            </w:pPr>
            <w:r>
              <w:rPr>
                <w:sz w:val="17"/>
                <w:szCs w:val="17"/>
              </w:rPr>
              <w:t>Fuga o difusión de los extractos</w:t>
            </w:r>
          </w:p>
        </w:tc>
        <w:tc>
          <w:tcPr>
            <w:tcW w:w="2880" w:type="dxa"/>
            <w:tcBorders>
              <w:top w:val="single" w:sz="4" w:space="0" w:color="7F7F7F"/>
              <w:left w:val="single" w:sz="4" w:space="0" w:color="7F7F7F"/>
              <w:bottom w:val="single" w:sz="4" w:space="0" w:color="7F7F7F"/>
              <w:right w:val="single" w:sz="4" w:space="0" w:color="7F7F7F"/>
            </w:tcBorders>
          </w:tcPr>
          <w:p w14:paraId="48B0D713" w14:textId="77777777" w:rsidR="00B63A85" w:rsidRDefault="00C0062E">
            <w:pPr>
              <w:pStyle w:val="TableParagraph"/>
              <w:spacing w:before="20" w:after="20" w:line="218" w:lineRule="auto"/>
              <w:ind w:left="40"/>
            </w:pPr>
            <w:r>
              <w:rPr>
                <w:sz w:val="17"/>
                <w:szCs w:val="17"/>
              </w:rPr>
              <w:t>Medio si se copian fuera del entorno.</w:t>
            </w:r>
          </w:p>
        </w:tc>
        <w:tc>
          <w:tcPr>
            <w:tcW w:w="2878" w:type="dxa"/>
            <w:tcBorders>
              <w:top w:val="single" w:sz="4" w:space="0" w:color="7F7F7F"/>
              <w:left w:val="single" w:sz="4" w:space="0" w:color="7F7F7F"/>
              <w:bottom w:val="single" w:sz="4" w:space="0" w:color="7F7F7F"/>
              <w:right w:val="single" w:sz="4" w:space="0" w:color="7F7F7F"/>
            </w:tcBorders>
          </w:tcPr>
          <w:p w14:paraId="4337C7AC" w14:textId="77777777" w:rsidR="00B63A85" w:rsidRDefault="00C0062E">
            <w:pPr>
              <w:pStyle w:val="TableParagraph"/>
              <w:spacing w:before="20" w:after="20" w:line="218" w:lineRule="auto"/>
              <w:ind w:left="40"/>
            </w:pPr>
            <w:r>
              <w:rPr>
                <w:sz w:val="17"/>
                <w:szCs w:val="17"/>
              </w:rPr>
              <w:t>Los crudos son de sólo lectura y no se replican; los derivados con IDs quedan fuera del repositorio de código (.gitignore) y del PDF; la integridad de los crudos se verifica por hash; el .zip de entrega contiene sólo IDs seudonimizados y se comparte por los canales autorizados.</w:t>
            </w:r>
          </w:p>
        </w:tc>
      </w:tr>
      <w:tr w:rsidR="00B63A85" w14:paraId="3FE5CA7B" w14:textId="77777777">
        <w:trPr>
          <w:cantSplit/>
        </w:trPr>
        <w:tc>
          <w:tcPr>
            <w:tcW w:w="2840" w:type="dxa"/>
            <w:tcBorders>
              <w:top w:val="single" w:sz="4" w:space="0" w:color="7F7F7F"/>
              <w:left w:val="single" w:sz="4" w:space="0" w:color="7F7F7F"/>
              <w:bottom w:val="single" w:sz="4" w:space="0" w:color="7F7F7F"/>
              <w:right w:val="single" w:sz="4" w:space="0" w:color="7F7F7F"/>
            </w:tcBorders>
          </w:tcPr>
          <w:p w14:paraId="2204DBE9" w14:textId="77777777" w:rsidR="00B63A85" w:rsidRDefault="00C0062E">
            <w:pPr>
              <w:pStyle w:val="TableParagraph"/>
              <w:spacing w:before="20" w:after="20" w:line="218" w:lineRule="auto"/>
              <w:ind w:left="40"/>
            </w:pPr>
            <w:r>
              <w:rPr>
                <w:sz w:val="17"/>
                <w:szCs w:val="17"/>
              </w:rPr>
              <w:t>Uso indebido de los scores (contactos no consentidos, discriminación)</w:t>
            </w:r>
          </w:p>
        </w:tc>
        <w:tc>
          <w:tcPr>
            <w:tcW w:w="2880" w:type="dxa"/>
            <w:tcBorders>
              <w:top w:val="single" w:sz="4" w:space="0" w:color="7F7F7F"/>
              <w:left w:val="single" w:sz="4" w:space="0" w:color="7F7F7F"/>
              <w:bottom w:val="single" w:sz="4" w:space="0" w:color="7F7F7F"/>
              <w:right w:val="single" w:sz="4" w:space="0" w:color="7F7F7F"/>
            </w:tcBorders>
          </w:tcPr>
          <w:p w14:paraId="2F754FE3" w14:textId="77777777" w:rsidR="00B63A85" w:rsidRDefault="00C0062E">
            <w:pPr>
              <w:pStyle w:val="TableParagraph"/>
              <w:spacing w:before="20" w:after="20" w:line="218" w:lineRule="auto"/>
              <w:ind w:left="40"/>
            </w:pPr>
            <w:r>
              <w:rPr>
                <w:sz w:val="17"/>
                <w:szCs w:val="17"/>
              </w:rPr>
              <w:t>Medio.</w:t>
            </w:r>
          </w:p>
        </w:tc>
        <w:tc>
          <w:tcPr>
            <w:tcW w:w="2878" w:type="dxa"/>
            <w:tcBorders>
              <w:top w:val="single" w:sz="4" w:space="0" w:color="7F7F7F"/>
              <w:left w:val="single" w:sz="4" w:space="0" w:color="7F7F7F"/>
              <w:bottom w:val="single" w:sz="4" w:space="0" w:color="7F7F7F"/>
              <w:right w:val="single" w:sz="4" w:space="0" w:color="7F7F7F"/>
            </w:tcBorders>
          </w:tcPr>
          <w:p w14:paraId="428693ED" w14:textId="77777777" w:rsidR="00B63A85" w:rsidRDefault="00C0062E">
            <w:pPr>
              <w:pStyle w:val="TableParagraph"/>
              <w:spacing w:before="20" w:after="20" w:line="218" w:lineRule="auto"/>
              <w:ind w:left="40"/>
            </w:pPr>
            <w:r>
              <w:rPr>
                <w:sz w:val="17"/>
                <w:szCs w:val="17"/>
              </w:rPr>
              <w:t>El score prioriza, no decide: antes de contactar, el CRM valida consentimiento (Ley 25.326, art. 5), turnos vigentes e identidad; no se usan atributos protegidos; las acciones son comerciales y opcionales para el cliente; acceso por roles y registro de uso en BigQuery / Service Leads.</w:t>
            </w:r>
          </w:p>
        </w:tc>
      </w:tr>
      <w:tr w:rsidR="00B63A85" w14:paraId="3DA7C7D0" w14:textId="77777777">
        <w:trPr>
          <w:cantSplit/>
        </w:trPr>
        <w:tc>
          <w:tcPr>
            <w:tcW w:w="2840" w:type="dxa"/>
            <w:tcBorders>
              <w:top w:val="single" w:sz="4" w:space="0" w:color="7F7F7F"/>
              <w:left w:val="single" w:sz="4" w:space="0" w:color="7F7F7F"/>
              <w:bottom w:val="single" w:sz="4" w:space="0" w:color="7F7F7F"/>
              <w:right w:val="single" w:sz="4" w:space="0" w:color="7F7F7F"/>
            </w:tcBorders>
          </w:tcPr>
          <w:p w14:paraId="6D95B349" w14:textId="77777777" w:rsidR="00B63A85" w:rsidRDefault="00C0062E">
            <w:pPr>
              <w:pStyle w:val="TableParagraph"/>
              <w:spacing w:before="20" w:after="20" w:line="218" w:lineRule="auto"/>
              <w:ind w:left="40"/>
            </w:pPr>
            <w:r>
              <w:rPr>
                <w:sz w:val="17"/>
                <w:szCs w:val="17"/>
              </w:rPr>
              <w:t>Fuga temporal (features con información futura)</w:t>
            </w:r>
          </w:p>
        </w:tc>
        <w:tc>
          <w:tcPr>
            <w:tcW w:w="2880" w:type="dxa"/>
            <w:tcBorders>
              <w:top w:val="single" w:sz="4" w:space="0" w:color="7F7F7F"/>
              <w:left w:val="single" w:sz="4" w:space="0" w:color="7F7F7F"/>
              <w:bottom w:val="single" w:sz="4" w:space="0" w:color="7F7F7F"/>
              <w:right w:val="single" w:sz="4" w:space="0" w:color="7F7F7F"/>
            </w:tcBorders>
          </w:tcPr>
          <w:p w14:paraId="230BF939" w14:textId="77777777" w:rsidR="00B63A85" w:rsidRDefault="00C0062E">
            <w:pPr>
              <w:pStyle w:val="TableParagraph"/>
              <w:spacing w:before="20" w:after="20" w:line="218" w:lineRule="auto"/>
              <w:ind w:left="40"/>
            </w:pPr>
            <w:r>
              <w:rPr>
                <w:sz w:val="17"/>
                <w:szCs w:val="17"/>
              </w:rPr>
              <w:t>Alto si no se controla; es el riesgo técnico principal del desafío.</w:t>
            </w:r>
          </w:p>
        </w:tc>
        <w:tc>
          <w:tcPr>
            <w:tcW w:w="2878" w:type="dxa"/>
            <w:tcBorders>
              <w:top w:val="single" w:sz="4" w:space="0" w:color="7F7F7F"/>
              <w:left w:val="single" w:sz="4" w:space="0" w:color="7F7F7F"/>
              <w:bottom w:val="single" w:sz="4" w:space="0" w:color="7F7F7F"/>
              <w:right w:val="single" w:sz="4" w:space="0" w:color="7F7F7F"/>
            </w:tcBorders>
          </w:tcPr>
          <w:p w14:paraId="1D64C35F" w14:textId="77777777" w:rsidR="00B63A85" w:rsidRDefault="00C0062E">
            <w:pPr>
              <w:pStyle w:val="TableParagraph"/>
              <w:spacing w:before="20" w:after="20" w:line="218" w:lineRule="auto"/>
              <w:ind w:left="40"/>
            </w:pPr>
            <w:r>
              <w:rPr>
                <w:sz w:val="17"/>
                <w:szCs w:val="17"/>
              </w:rPr>
              <w:t>Features anteriores al scoring; snapshots excluidos y ablaciones. Separación por fecha de scoring y margen de censura. El dashboard muestra horizontes que cruzan cortes; la purga o el embargo aún no se aplican y deben evaluarse antes de una validación prospectiva estricta.</w:t>
            </w:r>
          </w:p>
        </w:tc>
      </w:tr>
      <w:tr w:rsidR="00B63A85" w14:paraId="5666CF4E" w14:textId="77777777">
        <w:trPr>
          <w:cantSplit/>
        </w:trPr>
        <w:tc>
          <w:tcPr>
            <w:tcW w:w="2840" w:type="dxa"/>
            <w:tcBorders>
              <w:top w:val="single" w:sz="4" w:space="0" w:color="7F7F7F"/>
              <w:left w:val="single" w:sz="4" w:space="0" w:color="7F7F7F"/>
              <w:bottom w:val="single" w:sz="4" w:space="0" w:color="7F7F7F"/>
              <w:right w:val="single" w:sz="4" w:space="0" w:color="7F7F7F"/>
            </w:tcBorders>
          </w:tcPr>
          <w:p w14:paraId="68A94828" w14:textId="77777777" w:rsidR="00B63A85" w:rsidRDefault="00C0062E">
            <w:pPr>
              <w:pStyle w:val="TableParagraph"/>
              <w:spacing w:before="20" w:after="20" w:line="218" w:lineRule="auto"/>
              <w:ind w:left="40"/>
            </w:pPr>
            <w:r>
              <w:rPr>
                <w:sz w:val="17"/>
                <w:szCs w:val="17"/>
              </w:rPr>
              <w:t>Deriva y degradación del modelo</w:t>
            </w:r>
          </w:p>
        </w:tc>
        <w:tc>
          <w:tcPr>
            <w:tcW w:w="2880" w:type="dxa"/>
            <w:tcBorders>
              <w:top w:val="single" w:sz="4" w:space="0" w:color="7F7F7F"/>
              <w:left w:val="single" w:sz="4" w:space="0" w:color="7F7F7F"/>
              <w:bottom w:val="single" w:sz="4" w:space="0" w:color="7F7F7F"/>
              <w:right w:val="single" w:sz="4" w:space="0" w:color="7F7F7F"/>
            </w:tcBorders>
          </w:tcPr>
          <w:p w14:paraId="41421F51" w14:textId="77777777" w:rsidR="00B63A85" w:rsidRDefault="00C0062E">
            <w:pPr>
              <w:pStyle w:val="TableParagraph"/>
              <w:spacing w:before="20" w:after="20" w:line="218" w:lineRule="auto"/>
              <w:ind w:left="40"/>
            </w:pPr>
            <w:r>
              <w:rPr>
                <w:sz w:val="17"/>
                <w:szCs w:val="17"/>
              </w:rPr>
              <w:t>Medio: la composición del parque cambia mes a mes.</w:t>
            </w:r>
          </w:p>
        </w:tc>
        <w:tc>
          <w:tcPr>
            <w:tcW w:w="2878" w:type="dxa"/>
            <w:tcBorders>
              <w:top w:val="single" w:sz="4" w:space="0" w:color="7F7F7F"/>
              <w:left w:val="single" w:sz="4" w:space="0" w:color="7F7F7F"/>
              <w:bottom w:val="single" w:sz="4" w:space="0" w:color="7F7F7F"/>
              <w:right w:val="single" w:sz="4" w:space="0" w:color="7F7F7F"/>
            </w:tcBorders>
          </w:tcPr>
          <w:p w14:paraId="20B838C6" w14:textId="77777777" w:rsidR="00B63A85" w:rsidRDefault="00C0062E">
            <w:pPr>
              <w:pStyle w:val="TableParagraph"/>
              <w:spacing w:before="20" w:after="20" w:line="218" w:lineRule="auto"/>
              <w:ind w:left="40"/>
            </w:pPr>
            <w:r>
              <w:rPr>
                <w:sz w:val="17"/>
                <w:szCs w:val="17"/>
              </w:rPr>
              <w:t>Re-entrenamiento trimestral, monitoreo de churn por generación y de las features</w:t>
            </w:r>
            <w:r>
              <w:rPr>
                <w:sz w:val="17"/>
                <w:szCs w:val="17"/>
              </w:rPr>
              <w:t>, umbral de rentabilidad revisable, regla de respaldo (priorización actual) si el score se degrada.</w:t>
            </w:r>
          </w:p>
        </w:tc>
      </w:tr>
      <w:tr w:rsidR="00B63A85" w14:paraId="21674151" w14:textId="77777777">
        <w:trPr>
          <w:cantSplit/>
        </w:trPr>
        <w:tc>
          <w:tcPr>
            <w:tcW w:w="2840" w:type="dxa"/>
            <w:tcBorders>
              <w:top w:val="single" w:sz="4" w:space="0" w:color="7F7F7F"/>
              <w:left w:val="single" w:sz="4" w:space="0" w:color="7F7F7F"/>
              <w:bottom w:val="single" w:sz="4" w:space="0" w:color="7F7F7F"/>
              <w:right w:val="single" w:sz="4" w:space="0" w:color="7F7F7F"/>
            </w:tcBorders>
          </w:tcPr>
          <w:p w14:paraId="412BD933" w14:textId="77777777" w:rsidR="00B63A85" w:rsidRDefault="00C0062E">
            <w:pPr>
              <w:pStyle w:val="TableParagraph"/>
              <w:spacing w:before="20" w:after="20" w:line="218" w:lineRule="auto"/>
              <w:ind w:left="40"/>
            </w:pPr>
            <w:r>
              <w:rPr>
                <w:sz w:val="17"/>
                <w:szCs w:val="17"/>
              </w:rPr>
              <w:t>Cadena de suministro de software</w:t>
            </w:r>
          </w:p>
        </w:tc>
        <w:tc>
          <w:tcPr>
            <w:tcW w:w="2880" w:type="dxa"/>
            <w:tcBorders>
              <w:top w:val="single" w:sz="4" w:space="0" w:color="7F7F7F"/>
              <w:left w:val="single" w:sz="4" w:space="0" w:color="7F7F7F"/>
              <w:bottom w:val="single" w:sz="4" w:space="0" w:color="7F7F7F"/>
              <w:right w:val="single" w:sz="4" w:space="0" w:color="7F7F7F"/>
            </w:tcBorders>
          </w:tcPr>
          <w:p w14:paraId="4A3848A7" w14:textId="77777777" w:rsidR="00B63A85" w:rsidRDefault="00C0062E">
            <w:pPr>
              <w:pStyle w:val="TableParagraph"/>
              <w:spacing w:before="20" w:after="20" w:line="218" w:lineRule="auto"/>
              <w:ind w:left="40"/>
            </w:pPr>
            <w:r>
              <w:rPr>
                <w:sz w:val="17"/>
                <w:szCs w:val="17"/>
              </w:rPr>
              <w:t>Bajo.</w:t>
            </w:r>
          </w:p>
        </w:tc>
        <w:tc>
          <w:tcPr>
            <w:tcW w:w="2878" w:type="dxa"/>
            <w:tcBorders>
              <w:top w:val="single" w:sz="4" w:space="0" w:color="7F7F7F"/>
              <w:left w:val="single" w:sz="4" w:space="0" w:color="7F7F7F"/>
              <w:bottom w:val="single" w:sz="4" w:space="0" w:color="7F7F7F"/>
              <w:right w:val="single" w:sz="4" w:space="0" w:color="7F7F7F"/>
            </w:tcBorders>
          </w:tcPr>
          <w:p w14:paraId="6C480150" w14:textId="77777777" w:rsidR="00B63A85" w:rsidRDefault="00C0062E">
            <w:pPr>
              <w:pStyle w:val="TableParagraph"/>
              <w:spacing w:before="20" w:after="20" w:line="218" w:lineRule="auto"/>
              <w:ind w:left="40"/>
            </w:pPr>
            <w:r>
              <w:rPr>
                <w:sz w:val="17"/>
                <w:szCs w:val="17"/>
              </w:rPr>
              <w:t>Dependencias abiertas y conocidas (pandas, scikit-learn, LightGBM, SHAP) con versiones fijadas; código revisable; sin componentes que salgan a internet en ejecución.</w:t>
            </w:r>
          </w:p>
        </w:tc>
      </w:tr>
      <w:tr w:rsidR="00B63A85" w14:paraId="2CE6D6BF" w14:textId="77777777">
        <w:trPr>
          <w:cantSplit/>
        </w:trPr>
        <w:tc>
          <w:tcPr>
            <w:tcW w:w="2840" w:type="dxa"/>
            <w:tcBorders>
              <w:top w:val="single" w:sz="4" w:space="0" w:color="7F7F7F"/>
              <w:left w:val="single" w:sz="4" w:space="0" w:color="7F7F7F"/>
              <w:bottom w:val="single" w:sz="4" w:space="0" w:color="7F7F7F"/>
              <w:right w:val="single" w:sz="4" w:space="0" w:color="7F7F7F"/>
            </w:tcBorders>
          </w:tcPr>
          <w:p w14:paraId="11417F98" w14:textId="77777777" w:rsidR="00B63A85" w:rsidRDefault="00C0062E">
            <w:pPr>
              <w:pStyle w:val="TableParagraph"/>
              <w:spacing w:before="20" w:after="20" w:line="218" w:lineRule="auto"/>
              <w:ind w:left="40"/>
            </w:pPr>
            <w:r>
              <w:rPr>
                <w:sz w:val="17"/>
                <w:szCs w:val="17"/>
              </w:rPr>
              <w:t>Manipulación de datos de entrada (poisoning)</w:t>
            </w:r>
          </w:p>
        </w:tc>
        <w:tc>
          <w:tcPr>
            <w:tcW w:w="2880" w:type="dxa"/>
            <w:tcBorders>
              <w:top w:val="single" w:sz="4" w:space="0" w:color="7F7F7F"/>
              <w:left w:val="single" w:sz="4" w:space="0" w:color="7F7F7F"/>
              <w:bottom w:val="single" w:sz="4" w:space="0" w:color="7F7F7F"/>
              <w:right w:val="single" w:sz="4" w:space="0" w:color="7F7F7F"/>
            </w:tcBorders>
          </w:tcPr>
          <w:p w14:paraId="18C8A26B" w14:textId="77777777" w:rsidR="00B63A85" w:rsidRDefault="00C0062E">
            <w:pPr>
              <w:pStyle w:val="TableParagraph"/>
              <w:spacing w:before="20" w:after="20" w:line="218" w:lineRule="auto"/>
              <w:ind w:left="40"/>
            </w:pPr>
            <w:r>
              <w:rPr>
                <w:sz w:val="17"/>
                <w:szCs w:val="17"/>
              </w:rPr>
              <w:t>Bajo: los datos provienen de sistemas transaccionales internos.</w:t>
            </w:r>
          </w:p>
        </w:tc>
        <w:tc>
          <w:tcPr>
            <w:tcW w:w="2878" w:type="dxa"/>
            <w:tcBorders>
              <w:top w:val="single" w:sz="4" w:space="0" w:color="7F7F7F"/>
              <w:left w:val="single" w:sz="4" w:space="0" w:color="7F7F7F"/>
              <w:bottom w:val="single" w:sz="4" w:space="0" w:color="7F7F7F"/>
              <w:right w:val="single" w:sz="4" w:space="0" w:color="7F7F7F"/>
            </w:tcBorders>
          </w:tcPr>
          <w:p w14:paraId="640B9F30" w14:textId="77777777" w:rsidR="00B63A85" w:rsidRDefault="00C0062E">
            <w:pPr>
              <w:pStyle w:val="TableParagraph"/>
              <w:spacing w:before="20" w:after="20" w:line="218" w:lineRule="auto"/>
              <w:ind w:left="40"/>
            </w:pPr>
            <w:r>
              <w:rPr>
                <w:sz w:val="17"/>
                <w:szCs w:val="17"/>
              </w:rPr>
              <w:t>Controles de calidad al cargar (duplicados exactos, odómetros absurdos, estados contradictorios) y comparación de hashes de origen.</w:t>
            </w:r>
          </w:p>
        </w:tc>
      </w:tr>
    </w:tbl>
    <w:p w14:paraId="2EC91CDA" w14:textId="77777777" w:rsidR="00B63A85" w:rsidRDefault="00B63A85">
      <w:pPr>
        <w:pStyle w:val="BodyText"/>
        <w:spacing w:before="20" w:line="264" w:lineRule="auto"/>
        <w:ind w:left="170" w:right="120"/>
        <w:jc w:val="both"/>
      </w:pPr>
    </w:p>
    <w:p w14:paraId="7464AB43" w14:textId="77777777" w:rsidR="00B63A85" w:rsidRDefault="00C0062E">
      <w:pPr>
        <w:pStyle w:val="BodyText"/>
        <w:spacing w:before="90" w:line="264" w:lineRule="auto"/>
        <w:ind w:left="170" w:right="120"/>
        <w:jc w:val="both"/>
      </w:pPr>
      <w:r>
        <w:rPr>
          <w:i w:val="0"/>
          <w:iCs w:val="0"/>
          <w:sz w:val="20"/>
          <w:szCs w:val="20"/>
        </w:rPr>
        <w:t xml:space="preserve">Durante el desarrollo no se envió ningún dato del challenge a servicios externos. Usamos herramientas de IA sobre el código y la documentación, y todos los resultados salen de ejecutar código sobre los datos recibidos, dentro del entorno autorizado.</w:t>
      </w:r>
    </w:p>
    <w:p w14:paraId="27205870" w14:textId="77777777" w:rsidR="00B63A85" w:rsidRDefault="00C0062E">
      <w:pPr>
        <w:pStyle w:val="Heading1"/>
        <w:keepNext/>
        <w:pageBreakBefore/>
        <w:numPr>
          <w:ilvl w:val="0"/>
          <w:numId w:val="1"/>
        </w:numPr>
        <w:tabs>
          <w:tab w:val="left" w:pos="378"/>
          <w:tab w:val="left" w:pos="8901"/>
        </w:tabs>
        <w:spacing w:before="0"/>
        <w:ind w:left="378" w:hanging="208"/>
        <w:rPr>
          <w:u w:val="none"/>
        </w:rPr>
      </w:pPr>
      <w:bookmarkStart w:id="31" w:name="Factibilidad_Económica"/>
      <w:bookmarkStart w:id="32" w:name="_bookmark7"/>
      <w:bookmarkEnd w:id="31"/>
      <w:bookmarkEnd w:id="32"/>
      <w:r>
        <w:rPr>
          <w:spacing w:val="61"/>
          <w:w w:val="105"/>
        </w:rPr>
        <w:lastRenderedPageBreak/>
        <w:t xml:space="preserve"> </w:t>
      </w:r>
      <w:bookmarkStart w:id="33" w:name="_Toc241847783"/>
      <w:r>
        <w:rPr>
          <w:w w:val="105"/>
        </w:rPr>
        <w:t>Factibilidad</w:t>
      </w:r>
      <w:r>
        <w:rPr>
          <w:spacing w:val="20"/>
          <w:w w:val="105"/>
        </w:rPr>
        <w:t xml:space="preserve"> </w:t>
      </w:r>
      <w:r>
        <w:rPr>
          <w:spacing w:val="-2"/>
          <w:w w:val="105"/>
        </w:rPr>
        <w:t>Económica</w:t>
      </w:r>
      <w:bookmarkEnd w:id="33"/>
      <w:r>
        <w:tab/>
      </w:r>
    </w:p>
    <w:p w14:paraId="1EED7909" w14:textId="77777777" w:rsidR="00B63A85" w:rsidRDefault="00C0062E">
      <w:pPr>
        <w:pStyle w:val="BodyText"/>
        <w:spacing w:before="90" w:line="264" w:lineRule="auto"/>
        <w:ind w:left="170" w:right="120"/>
        <w:jc w:val="both"/>
      </w:pPr>
      <w:r>
        <w:rPr>
          <w:i w:val="0"/>
          <w:iCs w:val="0"/>
          <w:sz w:val="20"/>
          <w:szCs w:val="20"/>
        </w:rPr>
        <w:t xml:space="preserve">La solución usa Python y librerías de código abierto (pandas, scikit-learn, LightGBM, SHAP y Streamlit), y proponemos integrarla con BigQuery y con los canales que Ford ya tiene: Service Leads, Service Reminder y FordPass. El tiempo de cómputo depende del volumen de datos y del equipo; con el extracto actual, el pipeline completo corre en pocos minutos y la aplicación registra la duración de cada corrida.</w:t>
      </w:r>
    </w:p>
    <w:tbl>
      <w:tblPr>
        <w:tblW w:w="8599" w:type="dxa"/>
        <w:tblInd w:w="170" w:type="dxa"/>
        <w:tblLayout w:type="fixed"/>
        <w:tblCellMar>
          <w:left w:w="60" w:type="dxa"/>
          <w:right w:w="60" w:type="dxa"/>
        </w:tblCellMar>
        <w:tblLook w:val="04A0" w:firstRow="1" w:lastRow="0" w:firstColumn="1" w:lastColumn="0" w:noHBand="0" w:noVBand="1"/>
      </w:tblPr>
      <w:tblGrid>
        <w:gridCol w:w="3033"/>
        <w:gridCol w:w="2531"/>
        <w:gridCol w:w="3035"/>
      </w:tblGrid>
      <w:tr w:rsidR="00B63A85" w14:paraId="2303B9F9" w14:textId="77777777">
        <w:trPr>
          <w:cantSplit/>
          <w:tblHeader/>
        </w:trPr>
        <w:tc>
          <w:tcPr>
            <w:tcW w:w="3033" w:type="dxa"/>
            <w:tcBorders>
              <w:top w:val="single" w:sz="4" w:space="0" w:color="7F7F7F"/>
              <w:left w:val="single" w:sz="4" w:space="0" w:color="7F7F7F"/>
              <w:bottom w:val="single" w:sz="4" w:space="0" w:color="7F7F7F"/>
              <w:right w:val="single" w:sz="4" w:space="0" w:color="7F7F7F"/>
            </w:tcBorders>
            <w:shd w:val="clear" w:color="auto" w:fill="EDEDED"/>
          </w:tcPr>
          <w:p w14:paraId="17491887" w14:textId="77777777" w:rsidR="00B63A85" w:rsidRDefault="00C0062E">
            <w:pPr>
              <w:pStyle w:val="TableParagraph"/>
              <w:keepNext/>
              <w:spacing w:before="20" w:after="20" w:line="218" w:lineRule="auto"/>
              <w:ind w:left="40"/>
            </w:pPr>
            <w:r>
              <w:rPr>
                <w:b/>
                <w:bCs/>
                <w:sz w:val="17"/>
                <w:szCs w:val="17"/>
              </w:rPr>
              <w:t>Concepto</w:t>
            </w:r>
          </w:p>
        </w:tc>
        <w:tc>
          <w:tcPr>
            <w:tcW w:w="2531" w:type="dxa"/>
            <w:tcBorders>
              <w:top w:val="single" w:sz="4" w:space="0" w:color="7F7F7F"/>
              <w:left w:val="single" w:sz="4" w:space="0" w:color="7F7F7F"/>
              <w:bottom w:val="single" w:sz="4" w:space="0" w:color="7F7F7F"/>
              <w:right w:val="single" w:sz="4" w:space="0" w:color="7F7F7F"/>
            </w:tcBorders>
            <w:shd w:val="clear" w:color="auto" w:fill="EDEDED"/>
          </w:tcPr>
          <w:p w14:paraId="6A3EA6BE" w14:textId="77777777" w:rsidR="00B63A85" w:rsidRDefault="00C0062E">
            <w:pPr>
              <w:pStyle w:val="TableParagraph"/>
              <w:keepNext/>
              <w:spacing w:before="20" w:after="20" w:line="218" w:lineRule="auto"/>
              <w:ind w:left="40"/>
            </w:pPr>
            <w:r>
              <w:rPr>
                <w:b/>
                <w:bCs/>
                <w:sz w:val="17"/>
                <w:szCs w:val="17"/>
              </w:rPr>
              <w:t>Estimación (USD, supuestos)</w:t>
            </w:r>
          </w:p>
        </w:tc>
        <w:tc>
          <w:tcPr>
            <w:tcW w:w="3035" w:type="dxa"/>
            <w:tcBorders>
              <w:top w:val="single" w:sz="4" w:space="0" w:color="7F7F7F"/>
              <w:left w:val="single" w:sz="4" w:space="0" w:color="7F7F7F"/>
              <w:bottom w:val="single" w:sz="4" w:space="0" w:color="7F7F7F"/>
              <w:right w:val="single" w:sz="4" w:space="0" w:color="7F7F7F"/>
            </w:tcBorders>
            <w:shd w:val="clear" w:color="auto" w:fill="EDEDED"/>
          </w:tcPr>
          <w:p w14:paraId="008FAD9B" w14:textId="77777777" w:rsidR="00B63A85" w:rsidRDefault="00C0062E">
            <w:pPr>
              <w:pStyle w:val="TableParagraph"/>
              <w:keepNext/>
              <w:spacing w:before="20" w:after="20" w:line="218" w:lineRule="auto"/>
              <w:ind w:left="40"/>
            </w:pPr>
            <w:r>
              <w:rPr>
                <w:b/>
                <w:bCs/>
                <w:sz w:val="17"/>
                <w:szCs w:val="17"/>
              </w:rPr>
              <w:t>Naturaleza</w:t>
            </w:r>
          </w:p>
        </w:tc>
      </w:tr>
      <w:tr w:rsidR="00B63A85" w14:paraId="02CBA9FC" w14:textId="77777777">
        <w:trPr>
          <w:cantSplit/>
        </w:trPr>
        <w:tc>
          <w:tcPr>
            <w:tcW w:w="3033" w:type="dxa"/>
            <w:tcBorders>
              <w:top w:val="single" w:sz="4" w:space="0" w:color="7F7F7F"/>
              <w:left w:val="single" w:sz="4" w:space="0" w:color="7F7F7F"/>
              <w:bottom w:val="single" w:sz="4" w:space="0" w:color="7F7F7F"/>
              <w:right w:val="single" w:sz="4" w:space="0" w:color="7F7F7F"/>
            </w:tcBorders>
          </w:tcPr>
          <w:p w14:paraId="610254CE" w14:textId="77777777" w:rsidR="00B63A85" w:rsidRDefault="00C0062E">
            <w:pPr>
              <w:pStyle w:val="TableParagraph"/>
              <w:spacing w:before="20" w:after="20" w:line="218" w:lineRule="auto"/>
              <w:ind w:left="40"/>
            </w:pPr>
            <w:r>
              <w:rPr>
                <w:sz w:val="17"/>
                <w:szCs w:val="17"/>
              </w:rPr>
              <w:t>Integración del score a Service Leads / Reminder y a la vista de CRM (esquema del output, tabla en BigQuery, vista por usuario)</w:t>
            </w:r>
          </w:p>
        </w:tc>
        <w:tc>
          <w:tcPr>
            <w:tcW w:w="2531" w:type="dxa"/>
            <w:tcBorders>
              <w:top w:val="single" w:sz="4" w:space="0" w:color="7F7F7F"/>
              <w:left w:val="single" w:sz="4" w:space="0" w:color="7F7F7F"/>
              <w:bottom w:val="single" w:sz="4" w:space="0" w:color="7F7F7F"/>
              <w:right w:val="single" w:sz="4" w:space="0" w:color="7F7F7F"/>
            </w:tcBorders>
          </w:tcPr>
          <w:p w14:paraId="317C55E4" w14:textId="77777777" w:rsidR="00B63A85" w:rsidRDefault="00C0062E">
            <w:pPr>
              <w:pStyle w:val="TableParagraph"/>
              <w:spacing w:before="20" w:after="20" w:line="218" w:lineRule="auto"/>
              <w:ind w:left="40"/>
            </w:pPr>
            <w:r>
              <w:rPr>
                <w:sz w:val="17"/>
                <w:szCs w:val="17"/>
              </w:rPr>
              <w:t>15.000 a 25.000</w:t>
            </w:r>
          </w:p>
        </w:tc>
        <w:tc>
          <w:tcPr>
            <w:tcW w:w="3035" w:type="dxa"/>
            <w:tcBorders>
              <w:top w:val="single" w:sz="4" w:space="0" w:color="7F7F7F"/>
              <w:left w:val="single" w:sz="4" w:space="0" w:color="7F7F7F"/>
              <w:bottom w:val="single" w:sz="4" w:space="0" w:color="7F7F7F"/>
              <w:right w:val="single" w:sz="4" w:space="0" w:color="7F7F7F"/>
            </w:tcBorders>
          </w:tcPr>
          <w:p w14:paraId="09F7CEF8" w14:textId="77777777" w:rsidR="00B63A85" w:rsidRDefault="00C0062E">
            <w:pPr>
              <w:pStyle w:val="TableParagraph"/>
              <w:spacing w:before="20" w:after="20" w:line="218" w:lineRule="auto"/>
              <w:ind w:left="40"/>
            </w:pPr>
            <w:r>
              <w:rPr>
                <w:sz w:val="17"/>
                <w:szCs w:val="17"/>
              </w:rPr>
              <w:t>Una vez; 2 a 3 sprints de un ingeniero de datos con un analista de Posventa</w:t>
            </w:r>
          </w:p>
        </w:tc>
      </w:tr>
      <w:tr w:rsidR="00B63A85" w14:paraId="7C286FF5" w14:textId="77777777">
        <w:trPr>
          <w:cantSplit/>
        </w:trPr>
        <w:tc>
          <w:tcPr>
            <w:tcW w:w="3033" w:type="dxa"/>
            <w:tcBorders>
              <w:top w:val="single" w:sz="4" w:space="0" w:color="7F7F7F"/>
              <w:left w:val="single" w:sz="4" w:space="0" w:color="7F7F7F"/>
              <w:bottom w:val="single" w:sz="4" w:space="0" w:color="7F7F7F"/>
              <w:right w:val="single" w:sz="4" w:space="0" w:color="7F7F7F"/>
            </w:tcBorders>
          </w:tcPr>
          <w:p w14:paraId="5A44CA43" w14:textId="77777777" w:rsidR="00B63A85" w:rsidRDefault="00C0062E">
            <w:pPr>
              <w:pStyle w:val="TableParagraph"/>
              <w:spacing w:before="20" w:after="20" w:line="218" w:lineRule="auto"/>
              <w:ind w:left="40"/>
            </w:pPr>
            <w:r>
              <w:rPr>
                <w:sz w:val="17"/>
                <w:szCs w:val="17"/>
              </w:rPr>
              <w:t>Cómputo y almacenamiento (BigQuery scheduled queries, VM para el lote mensual)</w:t>
            </w:r>
          </w:p>
        </w:tc>
        <w:tc>
          <w:tcPr>
            <w:tcW w:w="2531" w:type="dxa"/>
            <w:tcBorders>
              <w:top w:val="single" w:sz="4" w:space="0" w:color="7F7F7F"/>
              <w:left w:val="single" w:sz="4" w:space="0" w:color="7F7F7F"/>
              <w:bottom w:val="single" w:sz="4" w:space="0" w:color="7F7F7F"/>
              <w:right w:val="single" w:sz="4" w:space="0" w:color="7F7F7F"/>
            </w:tcBorders>
          </w:tcPr>
          <w:p w14:paraId="1C106282" w14:textId="77777777" w:rsidR="00B63A85" w:rsidRDefault="00C0062E">
            <w:pPr>
              <w:pStyle w:val="TableParagraph"/>
              <w:spacing w:before="20" w:after="20" w:line="218" w:lineRule="auto"/>
              <w:ind w:left="40"/>
            </w:pPr>
            <w:r>
              <w:rPr>
                <w:sz w:val="17"/>
                <w:szCs w:val="17"/>
              </w:rPr>
              <w:t>500 a 1.500 por año</w:t>
            </w:r>
          </w:p>
        </w:tc>
        <w:tc>
          <w:tcPr>
            <w:tcW w:w="3035" w:type="dxa"/>
            <w:tcBorders>
              <w:top w:val="single" w:sz="4" w:space="0" w:color="7F7F7F"/>
              <w:left w:val="single" w:sz="4" w:space="0" w:color="7F7F7F"/>
              <w:bottom w:val="single" w:sz="4" w:space="0" w:color="7F7F7F"/>
              <w:right w:val="single" w:sz="4" w:space="0" w:color="7F7F7F"/>
            </w:tcBorders>
          </w:tcPr>
          <w:p w14:paraId="3B9FCA80" w14:textId="77777777" w:rsidR="00B63A85" w:rsidRDefault="00C0062E">
            <w:pPr>
              <w:pStyle w:val="TableParagraph"/>
              <w:spacing w:before="20" w:after="20" w:line="218" w:lineRule="auto"/>
              <w:ind w:left="40"/>
            </w:pPr>
            <w:r>
              <w:rPr>
                <w:sz w:val="17"/>
                <w:szCs w:val="17"/>
              </w:rPr>
              <w:t>Recurrente</w:t>
            </w:r>
          </w:p>
        </w:tc>
      </w:tr>
      <w:tr w:rsidR="00B63A85" w14:paraId="3DE1A34B" w14:textId="77777777">
        <w:trPr>
          <w:cantSplit/>
        </w:trPr>
        <w:tc>
          <w:tcPr>
            <w:tcW w:w="3033" w:type="dxa"/>
            <w:tcBorders>
              <w:top w:val="single" w:sz="4" w:space="0" w:color="7F7F7F"/>
              <w:left w:val="single" w:sz="4" w:space="0" w:color="7F7F7F"/>
              <w:bottom w:val="single" w:sz="4" w:space="0" w:color="7F7F7F"/>
              <w:right w:val="single" w:sz="4" w:space="0" w:color="7F7F7F"/>
            </w:tcBorders>
          </w:tcPr>
          <w:p w14:paraId="365BF394" w14:textId="77777777" w:rsidR="00B63A85" w:rsidRDefault="00C0062E">
            <w:pPr>
              <w:pStyle w:val="TableParagraph"/>
              <w:spacing w:before="20" w:after="20" w:line="218" w:lineRule="auto"/>
              <w:ind w:left="40"/>
            </w:pPr>
            <w:r>
              <w:rPr>
                <w:sz w:val="17"/>
                <w:szCs w:val="17"/>
              </w:rPr>
              <w:t>Mantenimiento: re-entrenamiento trimestral, monitoreo, ajuste de reglas</w:t>
            </w:r>
          </w:p>
        </w:tc>
        <w:tc>
          <w:tcPr>
            <w:tcW w:w="2531" w:type="dxa"/>
            <w:tcBorders>
              <w:top w:val="single" w:sz="4" w:space="0" w:color="7F7F7F"/>
              <w:left w:val="single" w:sz="4" w:space="0" w:color="7F7F7F"/>
              <w:bottom w:val="single" w:sz="4" w:space="0" w:color="7F7F7F"/>
              <w:right w:val="single" w:sz="4" w:space="0" w:color="7F7F7F"/>
            </w:tcBorders>
          </w:tcPr>
          <w:p w14:paraId="009C4C10" w14:textId="77777777" w:rsidR="00B63A85" w:rsidRDefault="00C0062E">
            <w:pPr>
              <w:pStyle w:val="TableParagraph"/>
              <w:spacing w:before="20" w:after="20" w:line="218" w:lineRule="auto"/>
              <w:ind w:left="40"/>
            </w:pPr>
            <w:r>
              <w:rPr>
                <w:sz w:val="17"/>
                <w:szCs w:val="17"/>
              </w:rPr>
              <w:t>12.000 a 18.000 por año (≈ 0,2 de un científico de datos)</w:t>
            </w:r>
          </w:p>
        </w:tc>
        <w:tc>
          <w:tcPr>
            <w:tcW w:w="3035" w:type="dxa"/>
            <w:tcBorders>
              <w:top w:val="single" w:sz="4" w:space="0" w:color="7F7F7F"/>
              <w:left w:val="single" w:sz="4" w:space="0" w:color="7F7F7F"/>
              <w:bottom w:val="single" w:sz="4" w:space="0" w:color="7F7F7F"/>
              <w:right w:val="single" w:sz="4" w:space="0" w:color="7F7F7F"/>
            </w:tcBorders>
          </w:tcPr>
          <w:p w14:paraId="071EA662" w14:textId="77777777" w:rsidR="00B63A85" w:rsidRDefault="00C0062E">
            <w:pPr>
              <w:pStyle w:val="TableParagraph"/>
              <w:spacing w:before="20" w:after="20" w:line="218" w:lineRule="auto"/>
              <w:ind w:left="40"/>
            </w:pPr>
            <w:r>
              <w:rPr>
                <w:sz w:val="17"/>
                <w:szCs w:val="17"/>
              </w:rPr>
              <w:t>Recurrente</w:t>
            </w:r>
          </w:p>
        </w:tc>
      </w:tr>
      <w:tr w:rsidR="00B63A85" w14:paraId="3FD9024F" w14:textId="77777777">
        <w:trPr>
          <w:cantSplit/>
        </w:trPr>
        <w:tc>
          <w:tcPr>
            <w:tcW w:w="3033" w:type="dxa"/>
            <w:tcBorders>
              <w:top w:val="single" w:sz="4" w:space="0" w:color="7F7F7F"/>
              <w:left w:val="single" w:sz="4" w:space="0" w:color="7F7F7F"/>
              <w:bottom w:val="single" w:sz="4" w:space="0" w:color="7F7F7F"/>
              <w:right w:val="single" w:sz="4" w:space="0" w:color="7F7F7F"/>
            </w:tcBorders>
          </w:tcPr>
          <w:p w14:paraId="1442413D" w14:textId="77777777" w:rsidR="00B63A85" w:rsidRDefault="00C0062E">
            <w:pPr>
              <w:pStyle w:val="TableParagraph"/>
              <w:spacing w:before="20" w:after="20" w:line="218" w:lineRule="auto"/>
              <w:ind w:left="40"/>
            </w:pPr>
            <w:r>
              <w:rPr>
                <w:sz w:val="17"/>
                <w:szCs w:val="17"/>
              </w:rPr>
              <w:t>Piloto de 90 días (contactos adicionales, ~3.000 por mes a USD 3)</w:t>
            </w:r>
          </w:p>
        </w:tc>
        <w:tc>
          <w:tcPr>
            <w:tcW w:w="2531" w:type="dxa"/>
            <w:tcBorders>
              <w:top w:val="single" w:sz="4" w:space="0" w:color="7F7F7F"/>
              <w:left w:val="single" w:sz="4" w:space="0" w:color="7F7F7F"/>
              <w:bottom w:val="single" w:sz="4" w:space="0" w:color="7F7F7F"/>
              <w:right w:val="single" w:sz="4" w:space="0" w:color="7F7F7F"/>
            </w:tcBorders>
          </w:tcPr>
          <w:p w14:paraId="4CCD79CE" w14:textId="77777777" w:rsidR="00B63A85" w:rsidRDefault="00C0062E">
            <w:pPr>
              <w:pStyle w:val="TableParagraph"/>
              <w:spacing w:before="20" w:after="20" w:line="218" w:lineRule="auto"/>
              <w:ind w:left="40"/>
            </w:pPr>
            <w:r>
              <w:rPr>
                <w:sz w:val="17"/>
                <w:szCs w:val="17"/>
              </w:rPr>
              <w:t>≈ 27.000</w:t>
            </w:r>
          </w:p>
        </w:tc>
        <w:tc>
          <w:tcPr>
            <w:tcW w:w="3035" w:type="dxa"/>
            <w:tcBorders>
              <w:top w:val="single" w:sz="4" w:space="0" w:color="7F7F7F"/>
              <w:left w:val="single" w:sz="4" w:space="0" w:color="7F7F7F"/>
              <w:bottom w:val="single" w:sz="4" w:space="0" w:color="7F7F7F"/>
              <w:right w:val="single" w:sz="4" w:space="0" w:color="7F7F7F"/>
            </w:tcBorders>
          </w:tcPr>
          <w:p w14:paraId="01C6B9F8" w14:textId="77777777" w:rsidR="00B63A85" w:rsidRDefault="00C0062E">
            <w:pPr>
              <w:pStyle w:val="TableParagraph"/>
              <w:spacing w:before="20" w:after="20" w:line="218" w:lineRule="auto"/>
              <w:ind w:left="40"/>
            </w:pPr>
            <w:r>
              <w:rPr>
                <w:sz w:val="17"/>
                <w:szCs w:val="17"/>
              </w:rPr>
              <w:t>Una vez, y es el costo que el modelo prioriza</w:t>
            </w:r>
          </w:p>
        </w:tc>
      </w:tr>
    </w:tbl>
    <w:p w14:paraId="033A78C8" w14:textId="77777777" w:rsidR="00B63A85" w:rsidRDefault="00B63A85">
      <w:pPr>
        <w:pStyle w:val="BodyText"/>
        <w:spacing w:before="20" w:line="264" w:lineRule="auto"/>
        <w:ind w:left="170" w:right="120"/>
        <w:jc w:val="both"/>
      </w:pPr>
    </w:p>
    <w:p w14:paraId="7538403C" w14:textId="77777777" w:rsidR="00B63A85" w:rsidRDefault="00C0062E">
      <w:pPr>
        <w:pStyle w:val="BodyText"/>
        <w:spacing w:before="90" w:line="264" w:lineRule="auto"/>
        <w:ind w:left="170" w:right="120"/>
        <w:jc w:val="both"/>
      </w:pPr>
      <w:r>
        <w:rPr>
          <w:b/>
          <w:bCs/>
          <w:i w:val="0"/>
          <w:iCs w:val="0"/>
          <w:sz w:val="20"/>
          <w:szCs w:val="20"/>
        </w:rPr>
        <w:t>El primer año cuesta entre USD 30.000 y 45.000, más el piloto.</w:t>
      </w:r>
    </w:p>
    <w:p w14:paraId="0A0524C1" w14:textId="77777777" w:rsidR="00B63A85" w:rsidRDefault="00C0062E">
      <w:pPr>
        <w:pStyle w:val="BodyText"/>
        <w:spacing w:before="90" w:line="264" w:lineRule="auto"/>
        <w:ind w:left="170" w:right="120"/>
        <w:jc w:val="both"/>
      </w:pPr>
      <w:r>
        <w:rPr>
          <w:b/>
          <w:bCs/>
          <w:i w:val="0"/>
          <w:iCs w:val="0"/>
          <w:sz w:val="20"/>
          <w:szCs w:val="20"/>
        </w:rPr>
        <w:t xml:space="preserve">El beneficio depende de supuestos que Ford puede cambiar.</w:t>
      </w:r>
      <w:r>
        <w:rPr>
          <w:i w:val="0"/>
          <w:iCs w:val="0"/>
          <w:sz w:val="20"/>
          <w:szCs w:val="20"/>
        </w:rPr>
        <w:t xml:space="preserve"> Tomamos que un contacto recupera al 15 % de los clientes que se iban, que un service retenido vale USD 250 y que un contacto cuesta USD 3 (Anexo H). Con esos números, priorizar al 20 % de mayor riesgo da un 82 % más de services retenidos que repartir el mismo esfuerzo al azar. Es una simulación sobre el ranking de la primera etapa y no mide la segunda.</w:t>
      </w:r>
    </w:p>
    <w:p w14:paraId="025FBA56" w14:textId="77777777" w:rsidR="00B63A85" w:rsidRDefault="00C0062E">
      <w:pPr>
        <w:pStyle w:val="BodyText"/>
        <w:spacing w:before="90" w:line="264" w:lineRule="auto"/>
        <w:ind w:left="170" w:right="120"/>
        <w:jc w:val="both"/>
      </w:pPr>
      <w:r>
        <w:rPr>
          <w:i w:val="0"/>
          <w:iCs w:val="0"/>
          <w:sz w:val="20"/>
          <w:szCs w:val="20"/>
        </w:rPr>
        <w:t xml:space="preserve">Sobre los tres meses de test, la simulación da unos USD 52.000 de margen incremental, que anualizados son del orden de USD 200.000, sin contar la recompra. Que la inversión se recupere en el primer trimestre depende de que esos supuestos se cumplan, y el piloto sirve justamente para comprobarlo.</w:t>
      </w:r>
    </w:p>
    <w:p w14:paraId="2D7C2DE4" w14:textId="77777777" w:rsidR="00B63A85" w:rsidRDefault="00C0062E">
      <w:pPr>
        <w:pStyle w:val="BodyText"/>
        <w:spacing w:before="90" w:line="264" w:lineRule="auto"/>
        <w:ind w:left="170" w:right="120"/>
        <w:jc w:val="both"/>
      </w:pPr>
      <w:r>
        <w:rPr>
          <w:b/>
          <w:bCs/>
          <w:i w:val="0"/>
          <w:iCs w:val="0"/>
          <w:sz w:val="20"/>
          <w:szCs w:val="20"/>
        </w:rPr>
        <w:t xml:space="preserve">La conclusión aguanta supuestos más pesimistas.</w:t>
      </w:r>
      <w:r>
        <w:rPr>
          <w:i w:val="0"/>
          <w:iCs w:val="0"/>
          <w:sz w:val="20"/>
          <w:szCs w:val="20"/>
        </w:rPr>
        <w:t xml:space="preserve"> Con una recuperación del 5 % y un service de USD 100, el ranking sigue rindiendo más que la priorización uniforme en la simulación. El umbral p ≥ 0,08 es un punto de rentabilidad teórico, calculado con una respuesta uniforme al contacto; no reemplaza a la segunda etapa ni dice que un cliente puntual vaya a volver por el llamado.</w:t>
      </w:r>
    </w:p>
    <w:p w14:paraId="0FF94399" w14:textId="77777777" w:rsidR="00B63A85" w:rsidRDefault="00C0062E">
      <w:pPr>
        <w:pStyle w:val="BodyText"/>
        <w:spacing w:before="90" w:line="264" w:lineRule="auto"/>
        <w:ind w:left="170" w:right="120"/>
        <w:jc w:val="both"/>
      </w:pPr>
      <w:r>
        <w:rPr>
          <w:i w:val="0"/>
          <w:iCs w:val="0"/>
          <w:sz w:val="20"/>
          <w:szCs w:val="20"/>
        </w:rPr>
        <w:t xml:space="preserve">Hay costos de los dos lados. Llamar a quien iba a volver igual gasta un contacto o regala un beneficio innecesario, y no llamar a quien se está yendo puede costar el service y la relación. La segunda etapa ordena las oportunidades dentro de Alto y Medio y aplica el cupo, pero la ganancia real y la conveniencia de cada incentivo se van a conocer con los resultados del piloto.</w:t>
      </w:r>
    </w:p>
    <w:p w14:paraId="68A2FECD" w14:textId="77777777" w:rsidR="00B63A85" w:rsidRDefault="00C0062E">
      <w:pPr>
        <w:pStyle w:val="BodyText"/>
        <w:spacing w:before="90" w:line="264" w:lineRule="auto"/>
        <w:ind w:left="170" w:right="120"/>
        <w:jc w:val="both"/>
      </w:pPr>
      <w:r>
        <w:rPr>
          <w:b/>
          <w:bCs/>
          <w:i w:val="0"/>
          <w:iCs w:val="0"/>
          <w:sz w:val="20"/>
          <w:szCs w:val="20"/>
        </w:rPr>
        <w:t xml:space="preserve">Cómo se mide.</w:t>
      </w:r>
      <w:r>
        <w:rPr>
          <w:i w:val="0"/>
          <w:iCs w:val="0"/>
          <w:sz w:val="20"/>
          <w:szCs w:val="20"/>
        </w:rPr>
        <w:t xml:space="preserve"> Proponemos un piloto de 90 días. En cada decil de riesgo, la mitad de los clientes recibe la acción de su grupo y la otra mitad sigue con el proceso actual. La asignación es al azar por cliente (todos sus vehículos van al mismo grupo) y estratificada por concesionario. Se mide el mantenimiento completado a 30 y a 120 días, por decil, acción, concesionario y mes. Con 6.000 a 7.000 ventanas por mes, una mejora de 5 puntos se detecta en dos meses.</w:t>
      </w:r>
    </w:p>
    <w:p w14:paraId="5015DD7B" w14:textId="77777777" w:rsidR="00B63A85" w:rsidRDefault="00C0062E">
      <w:r>
        <w:br w:type="page"/>
      </w:r>
    </w:p>
    <w:p w14:paraId="71DE9DCF" w14:textId="77777777" w:rsidR="00B63A85" w:rsidRDefault="00C0062E">
      <w:pPr>
        <w:pStyle w:val="Heading1"/>
        <w:keepNext/>
        <w:numPr>
          <w:ilvl w:val="0"/>
          <w:numId w:val="1"/>
        </w:numPr>
        <w:tabs>
          <w:tab w:val="left" w:pos="378"/>
          <w:tab w:val="left" w:pos="8901"/>
        </w:tabs>
        <w:spacing w:before="0"/>
        <w:ind w:left="378" w:hanging="208"/>
        <w:rPr>
          <w:u w:val="none"/>
        </w:rPr>
      </w:pPr>
      <w:bookmarkStart w:id="34" w:name="Valor_Diferencial_e_Innovación"/>
      <w:bookmarkStart w:id="35" w:name="_bookmark8"/>
      <w:bookmarkEnd w:id="34"/>
      <w:bookmarkEnd w:id="35"/>
      <w:r>
        <w:rPr>
          <w:spacing w:val="44"/>
          <w:w w:val="105"/>
        </w:rPr>
        <w:lastRenderedPageBreak/>
        <w:t xml:space="preserve"> </w:t>
      </w:r>
      <w:bookmarkStart w:id="36" w:name="_Toc241847784"/>
      <w:r>
        <w:rPr>
          <w:w w:val="105"/>
        </w:rPr>
        <w:t>Valor</w:t>
      </w:r>
      <w:r>
        <w:rPr>
          <w:spacing w:val="9"/>
          <w:w w:val="105"/>
        </w:rPr>
        <w:t xml:space="preserve"> </w:t>
      </w:r>
      <w:r>
        <w:rPr>
          <w:w w:val="105"/>
        </w:rPr>
        <w:t>Diferencial</w:t>
      </w:r>
      <w:r>
        <w:rPr>
          <w:spacing w:val="8"/>
          <w:w w:val="105"/>
        </w:rPr>
        <w:t xml:space="preserve"> </w:t>
      </w:r>
      <w:r>
        <w:rPr>
          <w:w w:val="105"/>
        </w:rPr>
        <w:t>e</w:t>
      </w:r>
      <w:r>
        <w:rPr>
          <w:spacing w:val="9"/>
          <w:w w:val="105"/>
        </w:rPr>
        <w:t xml:space="preserve"> </w:t>
      </w:r>
      <w:r>
        <w:rPr>
          <w:spacing w:val="-2"/>
          <w:w w:val="105"/>
        </w:rPr>
        <w:t>Innovación</w:t>
      </w:r>
      <w:bookmarkEnd w:id="36"/>
      <w:r>
        <w:tab/>
      </w:r>
    </w:p>
    <w:p w14:paraId="0458FE25" w14:textId="77777777" w:rsidR="00B63A85" w:rsidRDefault="00C0062E">
      <w:pPr>
        <w:pStyle w:val="BodyText"/>
        <w:spacing w:before="90" w:line="264" w:lineRule="auto"/>
        <w:ind w:left="170" w:right="120"/>
        <w:jc w:val="both"/>
      </w:pPr>
      <w:r>
        <w:rPr>
          <w:i w:val="0"/>
          <w:iCs w:val="0"/>
          <w:sz w:val="20"/>
          <w:szCs w:val="20"/>
        </w:rPr>
        <w:t xml:space="preserve">El algoritmo es el estándar de la industria. Lo que distingue a esta propuesta es cómo planteamos el problema y la evidencia que la respalda, que resumimos en cuatro puntos:</w:t>
      </w:r>
    </w:p>
    <w:p w14:paraId="651A934D" w14:textId="77777777" w:rsidR="00B63A85" w:rsidRDefault="00C0062E">
      <w:pPr>
        <w:pStyle w:val="ListParagraph"/>
        <w:numPr>
          <w:ilvl w:val="0"/>
          <w:numId w:val="2"/>
        </w:numPr>
        <w:spacing w:before="50" w:line="259" w:lineRule="auto"/>
        <w:ind w:right="120"/>
        <w:jc w:val="both"/>
      </w:pPr>
      <w:r>
        <w:rPr>
          <w:b/>
          <w:bCs/>
          <w:sz w:val="20"/>
          <w:szCs w:val="20"/>
        </w:rPr>
        <w:t xml:space="preserve">Precisa.</w:t>
      </w:r>
      <w:r>
        <w:rPr>
          <w:sz w:val="20"/>
          <w:szCs w:val="20"/>
        </w:rPr>
        <w:t xml:space="preserve"> Cada Ranger tiene su propio calendario, calculado con su generación y sus kilómetros reales, en vez de una fecha fija. La ventana se contrastó con el plan oficial de Ford, con 36 combinaciones de parámetros y con una solución hecha por separado; esa comparación mostró que el horizonte es la decisión que más pesa.</w:t>
      </w:r>
    </w:p>
    <w:p w14:paraId="4791E436" w14:textId="77777777" w:rsidR="00B63A85" w:rsidRDefault="00C0062E">
      <w:pPr>
        <w:pStyle w:val="ListParagraph"/>
        <w:numPr>
          <w:ilvl w:val="0"/>
          <w:numId w:val="2"/>
        </w:numPr>
        <w:spacing w:before="50" w:line="259" w:lineRule="auto"/>
        <w:ind w:right="120"/>
        <w:jc w:val="both"/>
      </w:pPr>
      <w:r>
        <w:rPr>
          <w:b/>
          <w:sz w:val="20"/>
          <w:szCs w:val="20"/>
        </w:rPr>
        <w:t xml:space="preserve">Honesta.</w:t>
      </w:r>
      <w:r>
        <w:rPr>
          <w:sz w:val="20"/>
          <w:szCs w:val="20"/>
        </w:rPr>
        <w:t xml:space="preserve"> Sacamos de los predictores históricos las fotos de kilometraje y conectividad. Con KM, el ROC-AUC subía de 0,740 a 0,813, pero esa mejora venía de información futura. La aplicación muestra los controles hechos y los horizontes que cruzan cortes, que todavía necesitan una evaluación con purga o embargo.</w:t>
      </w:r>
    </w:p>
    <w:p w14:paraId="42ECD365" w14:textId="77777777" w:rsidR="00B63A85" w:rsidRDefault="00C0062E">
      <w:pPr>
        <w:pStyle w:val="ListParagraph"/>
        <w:numPr>
          <w:ilvl w:val="0"/>
          <w:numId w:val="2"/>
        </w:numPr>
        <w:spacing w:before="50" w:line="259" w:lineRule="auto"/>
        <w:ind w:right="120"/>
        <w:jc w:val="both"/>
      </w:pPr>
      <w:r>
        <w:rPr>
          <w:b/>
          <w:bCs/>
          <w:sz w:val="20"/>
          <w:szCs w:val="20"/>
        </w:rPr>
        <w:t xml:space="preserve">Clara.</w:t>
      </w:r>
      <w:r>
        <w:rPr>
          <w:sz w:val="20"/>
          <w:szCs w:val="20"/>
        </w:rPr>
        <w:t xml:space="preserve"> Las probabilidades están calibradas y cada vehículo trae sus tres motivos SHAP en castellano. La segunda etapa suma el estado, el orden y los motivos operativos, con reglas explícitas sobre turno, margen, historia, concesionario y consolidación por cliente.</w:t>
      </w:r>
    </w:p>
    <w:p w14:paraId="12769320" w14:textId="77777777" w:rsidR="00B63A85" w:rsidRDefault="00C0062E">
      <w:pPr>
        <w:pStyle w:val="ListParagraph"/>
        <w:numPr>
          <w:ilvl w:val="0"/>
          <w:numId w:val="2"/>
        </w:numPr>
        <w:spacing w:before="50" w:line="259" w:lineRule="auto"/>
        <w:ind w:right="120"/>
        <w:jc w:val="both"/>
      </w:pPr>
      <w:r>
        <w:rPr>
          <w:b/>
          <w:bCs/>
          <w:sz w:val="20"/>
          <w:szCs w:val="20"/>
        </w:rPr>
        <w:t xml:space="preserve">Verificada.</w:t>
      </w:r>
      <w:r>
        <w:rPr>
          <w:sz w:val="20"/>
          <w:szCs w:val="20"/>
        </w:rPr>
        <w:t xml:space="preserve"> Cada análisis lo recalculó un revisor independiente, con código propio. Lo que no se sostuvo se corrigió y quedó documentado, y la comparación con la solución independiente siguió el mismo criterio.</w:t>
      </w:r>
    </w:p>
    <w:p w14:paraId="69F6E666" w14:textId="77777777" w:rsidR="00B63A85" w:rsidRDefault="00C0062E">
      <w:pPr>
        <w:pStyle w:val="BodyText"/>
        <w:spacing w:before="90" w:line="264" w:lineRule="auto"/>
        <w:ind w:left="170" w:right="120"/>
        <w:jc w:val="both"/>
      </w:pPr>
      <w:r>
        <w:rPr>
          <w:i w:val="0"/>
          <w:iCs w:val="0"/>
          <w:sz w:val="20"/>
          <w:szCs w:val="20"/>
        </w:rPr>
        <w:t xml:space="preserve">El trabajo deja además dos aportes concretos para Ford. El primero son hallazgos de negocio que van contra la intuición y están respaldados por los datos: el plan es por kilómetros y no anual, el primer service concentra el churn, los no-shows sólo pesan junto con la cantidad de turnos, el concesionario es un factor estable y accionable, y Ford ya tiene un incentivo por continuidad que conviene comunicar mejor. El segundo es que la recompra se puede medir con el mismo dataset, lo que habilita un segundo modelo enfocado en el objetivo de largo plazo del desafío.</w:t>
      </w:r>
    </w:p>
    <w:p w14:paraId="3FF1C49A" w14:textId="77777777" w:rsidR="00B63A85" w:rsidRDefault="00C0062E">
      <w:r>
        <w:br w:type="page"/>
      </w:r>
    </w:p>
    <w:p w14:paraId="391010DA" w14:textId="77777777" w:rsidR="00B63A85" w:rsidRDefault="00C0062E">
      <w:pPr>
        <w:pStyle w:val="Heading1"/>
        <w:keepNext/>
        <w:numPr>
          <w:ilvl w:val="0"/>
          <w:numId w:val="1"/>
        </w:numPr>
        <w:tabs>
          <w:tab w:val="left" w:pos="378"/>
          <w:tab w:val="left" w:pos="8901"/>
        </w:tabs>
        <w:spacing w:before="0"/>
        <w:ind w:left="378" w:hanging="208"/>
        <w:rPr>
          <w:u w:val="none"/>
        </w:rPr>
      </w:pPr>
      <w:bookmarkStart w:id="37" w:name="Trabajo_Futuro"/>
      <w:bookmarkStart w:id="38" w:name="_bookmark9"/>
      <w:bookmarkEnd w:id="37"/>
      <w:bookmarkEnd w:id="38"/>
      <w:r>
        <w:rPr>
          <w:spacing w:val="52"/>
          <w:w w:val="110"/>
        </w:rPr>
        <w:lastRenderedPageBreak/>
        <w:t xml:space="preserve"> </w:t>
      </w:r>
      <w:bookmarkStart w:id="39" w:name="_Toc241847785"/>
      <w:r>
        <w:rPr>
          <w:spacing w:val="-2"/>
          <w:w w:val="110"/>
        </w:rPr>
        <w:t>Trabajo</w:t>
      </w:r>
      <w:r>
        <w:rPr>
          <w:spacing w:val="13"/>
          <w:w w:val="110"/>
        </w:rPr>
        <w:t xml:space="preserve"> </w:t>
      </w:r>
      <w:r>
        <w:rPr>
          <w:spacing w:val="-2"/>
          <w:w w:val="110"/>
        </w:rPr>
        <w:t>Futuro</w:t>
      </w:r>
      <w:bookmarkEnd w:id="39"/>
      <w:r>
        <w:tab/>
      </w:r>
    </w:p>
    <w:p w14:paraId="38634AEB" w14:textId="77777777" w:rsidR="00B63A85" w:rsidRDefault="00C0062E">
      <w:pPr>
        <w:pStyle w:val="BodyText"/>
        <w:spacing w:before="90" w:line="264" w:lineRule="auto"/>
        <w:ind w:left="170" w:right="120"/>
        <w:jc w:val="both"/>
      </w:pPr>
      <w:r>
        <w:rPr>
          <w:b/>
          <w:bCs/>
          <w:i w:val="0"/>
          <w:iCs w:val="0"/>
          <w:sz w:val="20"/>
          <w:szCs w:val="20"/>
        </w:rPr>
        <w:t xml:space="preserve">Antes de escalar.</w:t>
      </w:r>
      <w:r>
        <w:rPr>
          <w:i w:val="0"/>
          <w:iCs w:val="0"/>
          <w:sz w:val="20"/>
          <w:szCs w:val="20"/>
        </w:rPr>
        <w:t xml:space="preserve"> Definir con Posventa las dos reglas que fijan el horizonte: con cuánta anticipación conviene contactar (−30 o −60 días) y cuántos días después del vencimiento se da por perdida la oportunidad (+60, +90 o +120). Correr el piloto aleatorizado de 90 días e integrar el score a Service Leads y Service Reminder.</w:t>
      </w:r>
    </w:p>
    <w:p w14:paraId="543DFD66" w14:textId="77777777" w:rsidR="00B63A85" w:rsidRDefault="00C0062E">
      <w:pPr>
        <w:pStyle w:val="BodyText"/>
        <w:spacing w:before="90" w:line="264" w:lineRule="auto"/>
        <w:ind w:left="170" w:right="120"/>
        <w:jc w:val="both"/>
      </w:pPr>
      <w:r>
        <w:rPr>
          <w:b/>
          <w:i w:val="0"/>
          <w:iCs w:val="0"/>
          <w:sz w:val="20"/>
          <w:szCs w:val="20"/>
        </w:rPr>
        <w:t xml:space="preserve">En los próximos meses.</w:t>
      </w:r>
      <w:r>
        <w:rPr>
          <w:i w:val="0"/>
          <w:iCs w:val="0"/>
          <w:sz w:val="20"/>
          <w:szCs w:val="20"/>
        </w:rPr>
        <w:t xml:space="preserve"> Ajustar con Posventa los umbrales de la política de contacto y conectar identidad y consentimiento con el CRM. Completar los tests de seguridad temporal y la evaluación con purga o embargo de horizontes, sumar intervalos de confianza y hacer una validación prospectiva sobre ventanas posteriores al entrenamiento. Pedir un extracto nuevo para una segunda validación a ciegas. Incorporar telemetría del vehículo para afinar la ventana del primer service, que hoy tiene un margen de ±140 días. La medición de tiempos y el vínculo por hash entre scoring y contacto ya están hechos.</w:t>
      </w:r>
    </w:p>
    <w:p w14:paraId="692F1EB3" w14:textId="77777777" w:rsidR="00B63A85" w:rsidRDefault="00C0062E">
      <w:pPr>
        <w:pStyle w:val="BodyText"/>
        <w:spacing w:before="90" w:line="264" w:lineRule="auto"/>
        <w:ind w:left="170" w:right="120"/>
        <w:jc w:val="both"/>
      </w:pPr>
      <w:r>
        <w:rPr>
          <w:b/>
          <w:bCs/>
          <w:i w:val="0"/>
          <w:iCs w:val="0"/>
          <w:sz w:val="20"/>
          <w:szCs w:val="20"/>
        </w:rPr>
        <w:t xml:space="preserve">Después.</w:t>
      </w:r>
      <w:r>
        <w:rPr>
          <w:i w:val="0"/>
          <w:iCs w:val="0"/>
          <w:sz w:val="20"/>
          <w:szCs w:val="20"/>
        </w:rPr>
        <w:t xml:space="preserve"> Entrenar un modelo de recompra Ranger a Ranger sobre los dueños activos. Con registros de contacto, grupo de control y mantenimiento posterior, probar un modelo de uplift que estime cuánto cambia el resultado por el contacto. La segunda etapa ya funciona con los CSV actuales, y esos datos permitirían reemplazar sus reglas por evidencia de respuesta real.</w:t>
      </w:r>
    </w:p>
    <w:p w14:paraId="4FB9A167" w14:textId="77777777" w:rsidR="00B63A85" w:rsidRDefault="00C0062E">
      <w:pPr>
        <w:pStyle w:val="BodyText"/>
        <w:spacing w:before="90" w:line="264" w:lineRule="auto"/>
        <w:ind w:left="170" w:right="120"/>
        <w:jc w:val="both"/>
      </w:pPr>
      <w:r>
        <w:rPr>
          <w:b/>
          <w:bCs/>
          <w:i w:val="0"/>
          <w:iCs w:val="0"/>
          <w:sz w:val="20"/>
          <w:szCs w:val="20"/>
        </w:rPr>
        <w:t xml:space="preserve">Replicabilidad.</w:t>
      </w:r>
      <w:r>
        <w:rPr>
          <w:i w:val="0"/>
          <w:iCs w:val="0"/>
          <w:sz w:val="20"/>
          <w:szCs w:val="20"/>
        </w:rPr>
        <w:t xml:space="preserve"> La solución necesita dos tablas que Ford tiene para toda su gama y toda la región (ventas y agenda), un plan de mantenimiento por modelo y una tasa de uso por vehículo. Para llevarla a otro modelo alcanza con cambiar el intervalo del plan en la configuración, y para otro país, con apuntar a las mismas tablas de BigQuery. En el Anexo I dejamos las preguntas que Ford podría responder para ajustarla.</w:t>
      </w:r>
    </w:p>
    <w:p w14:paraId="1F71C73C" w14:textId="77777777" w:rsidR="00B63A85" w:rsidRDefault="00C0062E">
      <w:r>
        <w:br w:type="page"/>
      </w:r>
    </w:p>
    <w:p w14:paraId="6AF501F7" w14:textId="77777777" w:rsidR="00B63A85" w:rsidRDefault="00C0062E">
      <w:pPr>
        <w:pStyle w:val="Heading1"/>
        <w:keepNext/>
        <w:numPr>
          <w:ilvl w:val="0"/>
          <w:numId w:val="1"/>
        </w:numPr>
        <w:tabs>
          <w:tab w:val="left" w:pos="378"/>
          <w:tab w:val="left" w:pos="8901"/>
        </w:tabs>
        <w:spacing w:before="0"/>
        <w:ind w:left="378" w:hanging="208"/>
        <w:rPr>
          <w:u w:val="none"/>
        </w:rPr>
      </w:pPr>
      <w:bookmarkStart w:id="40" w:name="Conclusiones"/>
      <w:bookmarkStart w:id="41" w:name="_bookmark10"/>
      <w:bookmarkEnd w:id="40"/>
      <w:bookmarkEnd w:id="41"/>
      <w:r>
        <w:rPr>
          <w:spacing w:val="74"/>
        </w:rPr>
        <w:lastRenderedPageBreak/>
        <w:t xml:space="preserve"> </w:t>
      </w:r>
      <w:bookmarkStart w:id="42" w:name="_Toc241847786"/>
      <w:r>
        <w:rPr>
          <w:spacing w:val="-2"/>
        </w:rPr>
        <w:t>Conclusiones</w:t>
      </w:r>
      <w:bookmarkEnd w:id="42"/>
      <w:r>
        <w:tab/>
      </w:r>
    </w:p>
    <w:p w14:paraId="54595146" w14:textId="77777777" w:rsidR="00B63A85" w:rsidRDefault="00C0062E">
      <w:pPr>
        <w:pStyle w:val="BodyText"/>
        <w:spacing w:before="90" w:line="264" w:lineRule="auto"/>
        <w:ind w:left="170" w:right="120"/>
        <w:jc w:val="both"/>
      </w:pPr>
      <w:r>
        <w:rPr>
          <w:i w:val="0"/>
          <w:iCs w:val="0"/>
          <w:sz w:val="20"/>
          <w:szCs w:val="20"/>
        </w:rPr>
        <w:t xml:space="preserve">Ford pierde cuatro de cada diez mantenimientos en ventana, y hoy les habla a todos sus clientes de la misma manera.</w:t>
      </w:r>
    </w:p>
    <w:p w14:paraId="018FBDAE" w14:textId="77777777" w:rsidR="00B63A85" w:rsidRDefault="00C0062E">
      <w:pPr>
        <w:pStyle w:val="BodyText"/>
        <w:spacing w:before="90" w:line="264" w:lineRule="auto"/>
        <w:ind w:left="170" w:right="120"/>
        <w:jc w:val="both"/>
      </w:pPr>
      <w:r>
        <w:rPr>
          <w:i w:val="0"/>
          <w:iCs w:val="0"/>
          <w:sz w:val="20"/>
          <w:szCs w:val="20"/>
        </w:rPr>
        <w:t xml:space="preserve">Con esta propuesta, cada vehículo en ventana tiene un riesgo estimado y cada concesionario, una lista de clientes para contactar. La primera etapa da una probabilidad calibrada, un segmento y tres motivos SHAP. La segunda junta Alto y Medio, revisa las condiciones de contacto, agrupa las unidades por cliente y selecciona hasta completar el cupo. Las cifras de cobertura (36 % de los que se van contactando al 20 % de la población y 65 % con 3.000 contactos por mes) corresponden al ranking de riesgo en el test; el efecto del contacto todavía no está medido.</w:t>
      </w:r>
    </w:p>
    <w:p w14:paraId="026C681F" w14:textId="77777777" w:rsidR="00B63A85" w:rsidRDefault="00C0062E">
      <w:pPr>
        <w:pStyle w:val="BodyText"/>
        <w:spacing w:before="90" w:line="264" w:lineRule="auto"/>
        <w:ind w:left="170" w:right="120"/>
        <w:jc w:val="both"/>
      </w:pPr>
      <w:r>
        <w:rPr>
          <w:i w:val="0"/>
          <w:iCs w:val="0"/>
          <w:sz w:val="20"/>
          <w:szCs w:val="20"/>
        </w:rPr>
        <w:t xml:space="preserve">Funciona con los datos que Ford ya tiene y se puede probar en 90 días. Los próximos pasos son validar el horizonte con Posventa, integrar el score a Service Leads y Service Reminder y correr el piloto, midiendo por decil, acción, concesionario y mes. Todo lo necesario está en el .zip adjunto y se reproduce con un solo comando.</w:t>
      </w:r>
      <w:bookmarkEnd w:id="4"/>
    </w:p>
    <w:p w14:paraId="13E331AD" w14:textId="77777777" w:rsidR="00B63A85" w:rsidRDefault="00C0062E">
      <w:r>
        <w:br w:type="page"/>
      </w:r>
    </w:p>
    <w:p w14:paraId="0DF5729B" w14:textId="77777777" w:rsidR="00B63A85" w:rsidRDefault="00C0062E">
      <w:pPr>
        <w:pStyle w:val="Heading1"/>
        <w:keepNext/>
        <w:spacing w:before="0"/>
        <w:ind w:left="170" w:firstLine="0"/>
      </w:pPr>
      <w:r>
        <w:lastRenderedPageBreak/>
        <w:t>Anexos</w:t>
      </w:r>
    </w:p>
    <w:p w14:paraId="1C3A6AB5" w14:textId="77777777" w:rsidR="00B63A85" w:rsidRDefault="00C0062E">
      <w:pPr>
        <w:pStyle w:val="BodyText"/>
        <w:spacing w:before="90" w:line="264" w:lineRule="auto"/>
        <w:ind w:left="170" w:right="120"/>
        <w:jc w:val="both"/>
      </w:pPr>
      <w:r>
        <w:rPr>
          <w:i w:val="0"/>
          <w:iCs w:val="0"/>
          <w:sz w:val="20"/>
          <w:szCs w:val="20"/>
        </w:rPr>
        <w:t xml:space="preserve">Los anexos reúnen la evidencia detrás del cuerpo del informe, y cada uno se cita en la sección que corresponde.</w:t>
      </w:r>
    </w:p>
    <w:p w14:paraId="081C5B0A" w14:textId="77777777" w:rsidR="00B63A85" w:rsidRDefault="00C0062E">
      <w:pPr>
        <w:pStyle w:val="Heading2"/>
        <w:keepNext/>
        <w:spacing w:before="280"/>
        <w:ind w:left="170" w:firstLine="0"/>
      </w:pPr>
      <w:r>
        <w:t>Anexo A. Datos recibidos</w:t>
      </w:r>
    </w:p>
    <w:tbl>
      <w:tblPr>
        <w:tblW w:w="8600" w:type="dxa"/>
        <w:tblInd w:w="170" w:type="dxa"/>
        <w:tblLayout w:type="fixed"/>
        <w:tblCellMar>
          <w:left w:w="60" w:type="dxa"/>
          <w:right w:w="60" w:type="dxa"/>
        </w:tblCellMar>
        <w:tblLook w:val="04A0" w:firstRow="1" w:lastRow="0" w:firstColumn="1" w:lastColumn="0" w:noHBand="0" w:noVBand="1"/>
      </w:tblPr>
      <w:tblGrid>
        <w:gridCol w:w="799"/>
        <w:gridCol w:w="2038"/>
        <w:gridCol w:w="2827"/>
        <w:gridCol w:w="2936"/>
      </w:tblGrid>
      <w:tr w:rsidR="00B63A85" w14:paraId="3960A6D2" w14:textId="77777777">
        <w:trPr>
          <w:cantSplit/>
          <w:tblHeader/>
        </w:trPr>
        <w:tc>
          <w:tcPr>
            <w:tcW w:w="798" w:type="dxa"/>
            <w:tcBorders>
              <w:top w:val="single" w:sz="4" w:space="0" w:color="7F7F7F"/>
              <w:left w:val="single" w:sz="4" w:space="0" w:color="7F7F7F"/>
              <w:bottom w:val="single" w:sz="4" w:space="0" w:color="7F7F7F"/>
              <w:right w:val="single" w:sz="4" w:space="0" w:color="7F7F7F"/>
            </w:tcBorders>
            <w:shd w:val="clear" w:color="auto" w:fill="EDEDED"/>
          </w:tcPr>
          <w:p w14:paraId="42DD5015" w14:textId="77777777" w:rsidR="00B63A85" w:rsidRDefault="00C0062E">
            <w:pPr>
              <w:pStyle w:val="TableParagraph"/>
              <w:keepNext/>
              <w:spacing w:before="20" w:after="20" w:line="218" w:lineRule="auto"/>
              <w:ind w:left="40"/>
            </w:pPr>
            <w:r>
              <w:rPr>
                <w:b/>
                <w:bCs/>
                <w:sz w:val="17"/>
                <w:szCs w:val="17"/>
              </w:rPr>
              <w:t>Tabla</w:t>
            </w:r>
          </w:p>
        </w:tc>
        <w:tc>
          <w:tcPr>
            <w:tcW w:w="2038" w:type="dxa"/>
            <w:tcBorders>
              <w:top w:val="single" w:sz="4" w:space="0" w:color="7F7F7F"/>
              <w:left w:val="single" w:sz="4" w:space="0" w:color="7F7F7F"/>
              <w:bottom w:val="single" w:sz="4" w:space="0" w:color="7F7F7F"/>
              <w:right w:val="single" w:sz="4" w:space="0" w:color="7F7F7F"/>
            </w:tcBorders>
            <w:shd w:val="clear" w:color="auto" w:fill="EDEDED"/>
          </w:tcPr>
          <w:p w14:paraId="3F5615BA" w14:textId="77777777" w:rsidR="00B63A85" w:rsidRDefault="00C0062E">
            <w:pPr>
              <w:pStyle w:val="TableParagraph"/>
              <w:keepNext/>
              <w:spacing w:before="20" w:after="20" w:line="218" w:lineRule="auto"/>
              <w:ind w:left="40"/>
            </w:pPr>
            <w:r>
              <w:rPr>
                <w:b/>
                <w:bCs/>
                <w:sz w:val="17"/>
                <w:szCs w:val="17"/>
              </w:rPr>
              <w:t>Grano</w:t>
            </w:r>
          </w:p>
        </w:tc>
        <w:tc>
          <w:tcPr>
            <w:tcW w:w="2827" w:type="dxa"/>
            <w:tcBorders>
              <w:top w:val="single" w:sz="4" w:space="0" w:color="7F7F7F"/>
              <w:left w:val="single" w:sz="4" w:space="0" w:color="7F7F7F"/>
              <w:bottom w:val="single" w:sz="4" w:space="0" w:color="7F7F7F"/>
              <w:right w:val="single" w:sz="4" w:space="0" w:color="7F7F7F"/>
            </w:tcBorders>
            <w:shd w:val="clear" w:color="auto" w:fill="EDEDED"/>
          </w:tcPr>
          <w:p w14:paraId="648C4581" w14:textId="77777777" w:rsidR="00B63A85" w:rsidRDefault="00C0062E">
            <w:pPr>
              <w:pStyle w:val="TableParagraph"/>
              <w:keepNext/>
              <w:spacing w:before="20" w:after="20" w:line="218" w:lineRule="auto"/>
              <w:ind w:left="40"/>
            </w:pPr>
            <w:r>
              <w:rPr>
                <w:b/>
                <w:bCs/>
                <w:sz w:val="17"/>
                <w:szCs w:val="17"/>
              </w:rPr>
              <w:t>Volumen</w:t>
            </w:r>
          </w:p>
        </w:tc>
        <w:tc>
          <w:tcPr>
            <w:tcW w:w="2936" w:type="dxa"/>
            <w:tcBorders>
              <w:top w:val="single" w:sz="4" w:space="0" w:color="7F7F7F"/>
              <w:left w:val="single" w:sz="4" w:space="0" w:color="7F7F7F"/>
              <w:bottom w:val="single" w:sz="4" w:space="0" w:color="7F7F7F"/>
              <w:right w:val="single" w:sz="4" w:space="0" w:color="7F7F7F"/>
            </w:tcBorders>
            <w:shd w:val="clear" w:color="auto" w:fill="EDEDED"/>
          </w:tcPr>
          <w:p w14:paraId="745343E5" w14:textId="77777777" w:rsidR="00B63A85" w:rsidRDefault="00C0062E">
            <w:pPr>
              <w:pStyle w:val="TableParagraph"/>
              <w:keepNext/>
              <w:spacing w:before="20" w:after="20" w:line="218" w:lineRule="auto"/>
              <w:ind w:left="40"/>
            </w:pPr>
            <w:r>
              <w:rPr>
                <w:b/>
                <w:bCs/>
                <w:sz w:val="17"/>
                <w:szCs w:val="17"/>
              </w:rPr>
              <w:t>Cobertura</w:t>
            </w:r>
          </w:p>
        </w:tc>
      </w:tr>
      <w:tr w:rsidR="00B63A85" w14:paraId="2E063836" w14:textId="77777777">
        <w:trPr>
          <w:cantSplit/>
        </w:trPr>
        <w:tc>
          <w:tcPr>
            <w:tcW w:w="798" w:type="dxa"/>
            <w:tcBorders>
              <w:top w:val="single" w:sz="4" w:space="0" w:color="7F7F7F"/>
              <w:left w:val="single" w:sz="4" w:space="0" w:color="7F7F7F"/>
              <w:bottom w:val="single" w:sz="4" w:space="0" w:color="7F7F7F"/>
              <w:right w:val="single" w:sz="4" w:space="0" w:color="7F7F7F"/>
            </w:tcBorders>
          </w:tcPr>
          <w:p w14:paraId="4BEC9F3B" w14:textId="77777777" w:rsidR="00B63A85" w:rsidRDefault="00C0062E">
            <w:pPr>
              <w:pStyle w:val="TableParagraph"/>
              <w:spacing w:before="20" w:after="20" w:line="218" w:lineRule="auto"/>
              <w:ind w:left="40"/>
            </w:pPr>
            <w:r>
              <w:rPr>
                <w:sz w:val="17"/>
                <w:szCs w:val="17"/>
              </w:rPr>
              <w:t>Ventas Ranger</w:t>
            </w:r>
          </w:p>
        </w:tc>
        <w:tc>
          <w:tcPr>
            <w:tcW w:w="2038" w:type="dxa"/>
            <w:tcBorders>
              <w:top w:val="single" w:sz="4" w:space="0" w:color="7F7F7F"/>
              <w:left w:val="single" w:sz="4" w:space="0" w:color="7F7F7F"/>
              <w:bottom w:val="single" w:sz="4" w:space="0" w:color="7F7F7F"/>
              <w:right w:val="single" w:sz="4" w:space="0" w:color="7F7F7F"/>
            </w:tcBorders>
          </w:tcPr>
          <w:p w14:paraId="4FA56536" w14:textId="77777777" w:rsidR="00B63A85" w:rsidRDefault="00C0062E">
            <w:pPr>
              <w:pStyle w:val="TableParagraph"/>
              <w:spacing w:before="20" w:after="20" w:line="218" w:lineRule="auto"/>
              <w:ind w:left="40"/>
            </w:pPr>
            <w:r>
              <w:rPr>
                <w:sz w:val="17"/>
                <w:szCs w:val="17"/>
              </w:rPr>
              <w:t>1 fila por vehículo vendido</w:t>
            </w:r>
          </w:p>
        </w:tc>
        <w:tc>
          <w:tcPr>
            <w:tcW w:w="2827" w:type="dxa"/>
            <w:tcBorders>
              <w:top w:val="single" w:sz="4" w:space="0" w:color="7F7F7F"/>
              <w:left w:val="single" w:sz="4" w:space="0" w:color="7F7F7F"/>
              <w:bottom w:val="single" w:sz="4" w:space="0" w:color="7F7F7F"/>
              <w:right w:val="single" w:sz="4" w:space="0" w:color="7F7F7F"/>
            </w:tcBorders>
          </w:tcPr>
          <w:p w14:paraId="1728AD19" w14:textId="77777777" w:rsidR="00B63A85" w:rsidRDefault="00C0062E">
            <w:pPr>
              <w:pStyle w:val="TableParagraph"/>
              <w:spacing w:before="20" w:after="20" w:line="218" w:lineRule="auto"/>
              <w:ind w:left="40"/>
            </w:pPr>
            <w:r>
              <w:rPr>
                <w:sz w:val="17"/>
                <w:szCs w:val="17"/>
              </w:rPr>
              <w:t>59.384 vehículos 0 km, 45.959 compradores</w:t>
            </w:r>
          </w:p>
        </w:tc>
        <w:tc>
          <w:tcPr>
            <w:tcW w:w="2936" w:type="dxa"/>
            <w:tcBorders>
              <w:top w:val="single" w:sz="4" w:space="0" w:color="7F7F7F"/>
              <w:left w:val="single" w:sz="4" w:space="0" w:color="7F7F7F"/>
              <w:bottom w:val="single" w:sz="4" w:space="0" w:color="7F7F7F"/>
              <w:right w:val="single" w:sz="4" w:space="0" w:color="7F7F7F"/>
            </w:tcBorders>
          </w:tcPr>
          <w:p w14:paraId="0E8561D1" w14:textId="77777777" w:rsidR="00B63A85" w:rsidRDefault="00C0062E">
            <w:pPr>
              <w:pStyle w:val="TableParagraph"/>
              <w:spacing w:before="20" w:after="20" w:line="218" w:lineRule="auto"/>
              <w:ind w:left="40"/>
            </w:pPr>
            <w:r>
              <w:rPr>
                <w:sz w:val="17"/>
                <w:szCs w:val="17"/>
              </w:rPr>
              <w:t>ventas 01/2024 → 08/2026</w:t>
            </w:r>
          </w:p>
        </w:tc>
      </w:tr>
      <w:tr w:rsidR="00B63A85" w14:paraId="64998728" w14:textId="77777777">
        <w:trPr>
          <w:cantSplit/>
        </w:trPr>
        <w:tc>
          <w:tcPr>
            <w:tcW w:w="798" w:type="dxa"/>
            <w:tcBorders>
              <w:top w:val="single" w:sz="4" w:space="0" w:color="7F7F7F"/>
              <w:left w:val="single" w:sz="4" w:space="0" w:color="7F7F7F"/>
              <w:bottom w:val="single" w:sz="4" w:space="0" w:color="7F7F7F"/>
              <w:right w:val="single" w:sz="4" w:space="0" w:color="7F7F7F"/>
            </w:tcBorders>
          </w:tcPr>
          <w:p w14:paraId="3FA74CAE" w14:textId="77777777" w:rsidR="00B63A85" w:rsidRDefault="00C0062E">
            <w:pPr>
              <w:pStyle w:val="TableParagraph"/>
              <w:spacing w:before="20" w:after="20" w:line="218" w:lineRule="auto"/>
              <w:ind w:left="40"/>
            </w:pPr>
            <w:r>
              <w:rPr>
                <w:sz w:val="17"/>
                <w:szCs w:val="17"/>
              </w:rPr>
              <w:t>Agenda Ford</w:t>
            </w:r>
          </w:p>
        </w:tc>
        <w:tc>
          <w:tcPr>
            <w:tcW w:w="2038" w:type="dxa"/>
            <w:tcBorders>
              <w:top w:val="single" w:sz="4" w:space="0" w:color="7F7F7F"/>
              <w:left w:val="single" w:sz="4" w:space="0" w:color="7F7F7F"/>
              <w:bottom w:val="single" w:sz="4" w:space="0" w:color="7F7F7F"/>
              <w:right w:val="single" w:sz="4" w:space="0" w:color="7F7F7F"/>
            </w:tcBorders>
          </w:tcPr>
          <w:p w14:paraId="1035799E" w14:textId="77777777" w:rsidR="00B63A85" w:rsidRDefault="00C0062E">
            <w:pPr>
              <w:pStyle w:val="TableParagraph"/>
              <w:spacing w:before="20" w:after="20" w:line="218" w:lineRule="auto"/>
              <w:ind w:left="40"/>
            </w:pPr>
            <w:r>
              <w:rPr>
                <w:sz w:val="17"/>
                <w:szCs w:val="17"/>
              </w:rPr>
              <w:t>1 fila por ítem de servicio dentro de un turno</w:t>
            </w:r>
          </w:p>
        </w:tc>
        <w:tc>
          <w:tcPr>
            <w:tcW w:w="2827" w:type="dxa"/>
            <w:tcBorders>
              <w:top w:val="single" w:sz="4" w:space="0" w:color="7F7F7F"/>
              <w:left w:val="single" w:sz="4" w:space="0" w:color="7F7F7F"/>
              <w:bottom w:val="single" w:sz="4" w:space="0" w:color="7F7F7F"/>
              <w:right w:val="single" w:sz="4" w:space="0" w:color="7F7F7F"/>
            </w:tcBorders>
          </w:tcPr>
          <w:p w14:paraId="6E876408" w14:textId="77777777" w:rsidR="00B63A85" w:rsidRDefault="00C0062E">
            <w:pPr>
              <w:pStyle w:val="TableParagraph"/>
              <w:spacing w:before="20" w:after="20" w:line="218" w:lineRule="auto"/>
              <w:ind w:left="40"/>
            </w:pPr>
            <w:r>
              <w:rPr>
                <w:sz w:val="17"/>
                <w:szCs w:val="17"/>
              </w:rPr>
              <w:t>631.623 ítems, 492.442 turnos, 111.752 vehículos, 95 concesionarios</w:t>
            </w:r>
          </w:p>
        </w:tc>
        <w:tc>
          <w:tcPr>
            <w:tcW w:w="2936" w:type="dxa"/>
            <w:tcBorders>
              <w:top w:val="single" w:sz="4" w:space="0" w:color="7F7F7F"/>
              <w:left w:val="single" w:sz="4" w:space="0" w:color="7F7F7F"/>
              <w:bottom w:val="single" w:sz="4" w:space="0" w:color="7F7F7F"/>
              <w:right w:val="single" w:sz="4" w:space="0" w:color="7F7F7F"/>
            </w:tcBorders>
          </w:tcPr>
          <w:p w14:paraId="5B158B9A" w14:textId="77777777" w:rsidR="00B63A85" w:rsidRDefault="00C0062E">
            <w:pPr>
              <w:pStyle w:val="TableParagraph"/>
              <w:spacing w:before="20" w:after="20" w:line="218" w:lineRule="auto"/>
              <w:ind w:left="40"/>
            </w:pPr>
            <w:r>
              <w:rPr>
                <w:sz w:val="17"/>
                <w:szCs w:val="17"/>
              </w:rPr>
              <w:t>turnos 01/2024 → 08/2026, todo el parque Ranger (año modelo 2005-2026)</w:t>
            </w:r>
          </w:p>
        </w:tc>
      </w:tr>
    </w:tbl>
    <w:p w14:paraId="70E2FF2A" w14:textId="77777777" w:rsidR="00B63A85" w:rsidRDefault="00B63A85">
      <w:pPr>
        <w:pStyle w:val="BodyText"/>
        <w:spacing w:before="20" w:line="264" w:lineRule="auto"/>
        <w:ind w:left="170" w:right="120"/>
        <w:jc w:val="both"/>
      </w:pPr>
    </w:p>
    <w:p w14:paraId="4F63F534" w14:textId="77777777" w:rsidR="00B63A85" w:rsidRDefault="00C0062E">
      <w:pPr>
        <w:pStyle w:val="BodyText"/>
        <w:spacing w:before="90" w:line="264" w:lineRule="auto"/>
        <w:ind w:left="170" w:right="120"/>
        <w:jc w:val="both"/>
      </w:pPr>
      <w:r>
        <w:rPr>
          <w:i w:val="0"/>
          <w:iCs w:val="0"/>
          <w:sz w:val="20"/>
          <w:szCs w:val="20"/>
        </w:rPr>
        <w:t xml:space="preserve">De los 492.442 turnos, 342.691 se concluyeron, 101.222 se cancelaron (la mayoría por reprogramación) y 27.237 fueron no-show. Del total, 222.889 son mantenimientos programados completados. Corte de datos: 25/08/2026.</w:t>
      </w:r>
    </w:p>
    <w:p w14:paraId="48C2AAF9" w14:textId="77777777" w:rsidR="00B63A85" w:rsidRDefault="00C0062E">
      <w:pPr>
        <w:pStyle w:val="Heading2"/>
        <w:keepNext/>
        <w:spacing w:before="280"/>
        <w:ind w:left="170" w:firstLine="0"/>
      </w:pPr>
      <w:r>
        <w:t>Anexo B. Hallazgos del análisis exploratorio, con cifras</w:t>
      </w:r>
    </w:p>
    <w:p w14:paraId="6F25FF8D" w14:textId="77777777" w:rsidR="00B63A85" w:rsidRDefault="00C0062E">
      <w:pPr>
        <w:pStyle w:val="ListParagraph"/>
        <w:numPr>
          <w:ilvl w:val="0"/>
          <w:numId w:val="2"/>
        </w:numPr>
        <w:spacing w:before="50" w:line="259" w:lineRule="auto"/>
        <w:ind w:right="120"/>
        <w:jc w:val="both"/>
      </w:pPr>
      <w:r>
        <w:rPr>
          <w:b/>
          <w:bCs/>
          <w:sz w:val="20"/>
          <w:szCs w:val="20"/>
        </w:rPr>
        <w:t xml:space="preserve">Plan por kilómetros.</w:t>
      </w:r>
      <w:r>
        <w:rPr>
          <w:sz w:val="20"/>
          <w:szCs w:val="20"/>
        </w:rPr>
        <w:t xml:space="preserve"> El kilometraje al n-ésimo service se acerca a 16.000 × n en la P703 y a 10.000 × n en la P375, en línea con el plan oficial que publica Ford Argentina (16.000 km o 12 meses en la Ranger nueva; 10.000 km o 1 año en la anterior). La regla de "15.000 km o 1 año" que nos pasó el tutor es una aproximación: el valor nominal es 16.000 y en la práctica manda el kilometraje. La mediana entre mantenimientos consecutivos va de 165 a 200 días según cómo se mida (por evento o por vehículo), y cerca del 10 % de los retornos tarda más de un año. El parque recorre una mediana de 21.514 km por año.</w:t>
      </w:r>
    </w:p>
    <w:p w14:paraId="1FC9B00C" w14:textId="77777777" w:rsidR="00B63A85" w:rsidRDefault="00C0062E">
      <w:pPr>
        <w:pStyle w:val="ListParagraph"/>
        <w:numPr>
          <w:ilvl w:val="0"/>
          <w:numId w:val="2"/>
        </w:numPr>
        <w:spacing w:before="50" w:line="259" w:lineRule="auto"/>
        <w:ind w:right="120"/>
        <w:jc w:val="both"/>
      </w:pPr>
      <w:r>
        <w:rPr>
          <w:b/>
          <w:bCs/>
          <w:sz w:val="20"/>
          <w:szCs w:val="20"/>
        </w:rPr>
        <w:t xml:space="preserve">Primer service.</w:t>
      </w:r>
      <w:r>
        <w:rPr>
          <w:sz w:val="20"/>
          <w:szCs w:val="20"/>
        </w:rPr>
        <w:t xml:space="preserve"> De los compradores de 2024, el 64,5 % hizo el primer mantenimiento en un concesionario oficial dentro de los 12 meses y el 80,9 % dentro de los 18; el 19 % no volvió. A 12 meses, el churn del primer service (36 %) es mayor que el del segundo (25 %). Con vehículos de la misma edad, la cantidad de services acumulados separa tasas de retorno del 40 % y del 80 %, así que la intensidad de la relación es uno de los predictores más fuertes.</w:t>
      </w:r>
    </w:p>
    <w:p w14:paraId="17737E86" w14:textId="77777777" w:rsidR="00B63A85" w:rsidRDefault="00C0062E">
      <w:pPr>
        <w:pStyle w:val="ListParagraph"/>
        <w:numPr>
          <w:ilvl w:val="0"/>
          <w:numId w:val="2"/>
        </w:numPr>
        <w:spacing w:before="50" w:line="259" w:lineRule="auto"/>
        <w:ind w:right="120"/>
        <w:jc w:val="both"/>
      </w:pPr>
      <w:r>
        <w:rPr>
          <w:b/>
          <w:bCs/>
          <w:sz w:val="20"/>
          <w:szCs w:val="20"/>
        </w:rPr>
        <w:t xml:space="preserve">Edad del vehículo.</w:t>
      </w:r>
      <w:r>
        <w:rPr>
          <w:sz w:val="20"/>
          <w:szCs w:val="20"/>
        </w:rPr>
        <w:t xml:space="preserve"> La retención anual pasa de 66 % en el tercer año a 53 % en el quinto y 38 % en el sexto, cuando la mediana del parque ya supera los 100.000 km (Figura 5).</w:t>
      </w:r>
    </w:p>
    <w:p w14:paraId="44C99D11" w14:textId="77777777" w:rsidR="00B63A85" w:rsidRDefault="00C0062E">
      <w:pPr>
        <w:pStyle w:val="ListParagraph"/>
        <w:numPr>
          <w:ilvl w:val="0"/>
          <w:numId w:val="2"/>
        </w:numPr>
        <w:spacing w:before="50" w:line="259" w:lineRule="auto"/>
        <w:ind w:right="120"/>
        <w:jc w:val="both"/>
      </w:pPr>
      <w:r>
        <w:rPr>
          <w:b/>
          <w:bCs/>
          <w:sz w:val="20"/>
          <w:szCs w:val="20"/>
        </w:rPr>
        <w:t xml:space="preserve">Columnas foto.</w:t>
      </w:r>
      <w:r>
        <w:rPr>
          <w:sz w:val="20"/>
          <w:szCs w:val="20"/>
        </w:rPr>
        <w:t xml:space="preserve"> KM tiene el mismo valor en todos los turnos de un vehículo (99,99 % de los casos) y coincide con el último odómetro cargado. ConnectedStatusARG tampoco cambia en el tiempo, y "Sin información de conectividad" identifica vehículos que ya salieron del sistema. El kilometraje real de cada visita está en VehicleCurrentKM.</w:t>
      </w:r>
    </w:p>
    <w:p w14:paraId="059B6C79" w14:textId="77777777" w:rsidR="00B63A85" w:rsidRDefault="00C0062E">
      <w:pPr>
        <w:pStyle w:val="ListParagraph"/>
        <w:numPr>
          <w:ilvl w:val="0"/>
          <w:numId w:val="2"/>
        </w:numPr>
        <w:spacing w:before="50" w:line="259" w:lineRule="auto"/>
        <w:ind w:right="120"/>
        <w:jc w:val="both"/>
      </w:pPr>
      <w:r>
        <w:rPr>
          <w:b/>
          <w:bCs/>
          <w:sz w:val="20"/>
          <w:szCs w:val="20"/>
        </w:rPr>
        <w:t xml:space="preserve">Lo que engaña si se mira en crudo.</w:t>
      </w:r>
      <w:r>
        <w:rPr>
          <w:sz w:val="20"/>
          <w:szCs w:val="20"/>
        </w:rPr>
        <w:t xml:space="preserve"> Los no-shows previos parecen no diferenciar a nadie (78,0 %, 78,9 % y 79,1 % de retorno con 0, 1 y 2 o más). Es una paradoja de Simpson: para faltar a un turno hay que haberlo pedido, y tener turnos es el predictor más fuerte. Comparando clientes con la misma cantidad de turnos previos, un no-show sí baja el retorno (67 % contra 73 % con un turno; 73 % contra 77 % con dos), y en un modelo conjunto pesa con un odds ratio de 0,7. Las cancelaciones duras se comportan parecido, y las reprogramaciones se vuelven a agendar en el 72 % de los casos, a los 6 días. Un vehículo con reparaciones o recalls previos vuelve más, pero por haber tenido más contacto con el concesionario y no por el problema en sí. La encuesta de estrellas se responde antes del turno, no después del service, y no aporta.</w:t>
      </w:r>
    </w:p>
    <w:p w14:paraId="369D0286" w14:textId="77777777" w:rsidR="00B63A85" w:rsidRDefault="00C0062E">
      <w:pPr>
        <w:pStyle w:val="ListParagraph"/>
        <w:numPr>
          <w:ilvl w:val="0"/>
          <w:numId w:val="2"/>
        </w:numPr>
        <w:spacing w:before="50" w:line="259" w:lineRule="auto"/>
        <w:ind w:right="120"/>
        <w:jc w:val="both"/>
      </w:pPr>
      <w:r>
        <w:rPr>
          <w:b/>
          <w:bCs/>
          <w:sz w:val="20"/>
          <w:szCs w:val="20"/>
        </w:rPr>
        <w:t xml:space="preserve">Lo que sí separa.</w:t>
      </w:r>
      <w:r>
        <w:rPr>
          <w:sz w:val="20"/>
          <w:szCs w:val="20"/>
        </w:rPr>
        <w:t xml:space="preserve"> La recencia (turno previo hace más de un año: 51 % de retorno; hace 1 a 3 meses: 86 %), FordPass (entre 3 y 5 puntos más dentro de cada generación, una diferencia que se mantiene al controlar por concesionario e intensidad) y el concesionario (estable entre años; 73 % contra 84 % de retorno entre el peor y el mejor quintil).</w:t>
      </w:r>
    </w:p>
    <w:p w14:paraId="40769ABB" w14:textId="77777777" w:rsidR="00B63A85" w:rsidRDefault="00C0062E">
      <w:pPr>
        <w:pStyle w:val="ListParagraph"/>
        <w:numPr>
          <w:ilvl w:val="0"/>
          <w:numId w:val="2"/>
        </w:numPr>
        <w:spacing w:before="50" w:line="259" w:lineRule="auto"/>
        <w:ind w:right="120"/>
        <w:jc w:val="both"/>
      </w:pPr>
      <w:r>
        <w:rPr>
          <w:b/>
          <w:bCs/>
          <w:sz w:val="20"/>
          <w:szCs w:val="20"/>
        </w:rPr>
        <w:t xml:space="preserve">Identidad del cliente.</w:t>
      </w:r>
      <w:r>
        <w:rPr>
          <w:sz w:val="20"/>
          <w:szCs w:val="20"/>
        </w:rPr>
        <w:t xml:space="preserve"> El 21 % de los vehículos tiene más de un customer_id, y en la mitad de los casos el cambio coincide con un cambio de canal de reserva (Dealer ↔ FordPass), no con una transferencia. Que el vehículo lo lleve el comprador u otra persona no cambia el retorno. Las flotas entran menos (62 % contra 80 % hace el primer service en 15 meses), pero una vez que entran vuelven igual.</w:t>
      </w:r>
    </w:p>
    <w:p w14:paraId="211ADFC9" w14:textId="77777777" w:rsidR="00B63A85" w:rsidRDefault="00C0062E">
      <w:pPr>
        <w:keepNext/>
        <w:spacing w:before="120"/>
        <w:ind w:left="170"/>
        <w:jc w:val="center"/>
      </w:pPr>
      <w:r>
        <w:rPr>
          <w:noProof/>
        </w:rPr>
        <w:drawing>
          <wp:inline distT="0" distB="0" distL="0" distR="0" wp14:anchorId="61CC2768" wp14:editId="7010A050">
            <wp:extent cx="4699000" cy="1807210"/>
            <wp:effectExtent l="0" t="0" r="0" b="0"/>
            <wp:docPr id="6"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a 5"/>
                    <pic:cNvPicPr>
                      <a:picLocks noChangeAspect="1" noChangeArrowheads="1"/>
                    </pic:cNvPicPr>
                  </pic:nvPicPr>
                  <pic:blipFill>
                    <a:blip r:embed="rId22"/>
                    <a:stretch>
                      <a:fillRect/>
                    </a:stretch>
                  </pic:blipFill>
                  <pic:spPr bwMode="auto">
                    <a:xfrm>
                      <a:off x="0" y="0"/>
                      <a:ext cx="4699000" cy="1807210"/>
                    </a:xfrm>
                    <a:prstGeom prst="rect">
                      <a:avLst/>
                    </a:prstGeom>
                  </pic:spPr>
                </pic:pic>
              </a:graphicData>
            </a:graphic>
          </wp:inline>
        </w:drawing>
      </w:r>
    </w:p>
    <w:p w14:paraId="1F07F26C" w14:textId="77777777" w:rsidR="00B63A85" w:rsidRDefault="00C0062E">
      <w:pPr>
        <w:pStyle w:val="Caption"/>
        <w:spacing w:before="40" w:after="160"/>
        <w:ind w:left="170" w:right="120"/>
        <w:jc w:val="center"/>
      </w:pPr>
      <w:r>
        <w:rPr>
          <w:sz w:val="16"/>
          <w:szCs w:val="16"/>
        </w:rPr>
        <w:t>Figura 5. Proporción de vehículos con al menos un mantenimiento en un concesionario oficial en cada año de vida.</w:t>
      </w:r>
    </w:p>
    <w:p w14:paraId="0EEBC8E4" w14:textId="77777777" w:rsidR="00B63A85" w:rsidRDefault="00C0062E">
      <w:pPr>
        <w:pStyle w:val="Heading2"/>
        <w:keepNext/>
        <w:spacing w:before="280"/>
        <w:ind w:left="170" w:firstLine="0"/>
      </w:pPr>
      <w:r>
        <w:t>Anexo C. Población, ventana y target</w:t>
      </w:r>
    </w:p>
    <w:tbl>
      <w:tblPr>
        <w:tblW w:w="8598" w:type="dxa"/>
        <w:tblInd w:w="170" w:type="dxa"/>
        <w:tblLayout w:type="fixed"/>
        <w:tblCellMar>
          <w:left w:w="60" w:type="dxa"/>
          <w:right w:w="60" w:type="dxa"/>
        </w:tblCellMar>
        <w:tblLook w:val="04A0" w:firstRow="1" w:lastRow="0" w:firstColumn="1" w:lastColumn="0" w:noHBand="0" w:noVBand="1"/>
      </w:tblPr>
      <w:tblGrid>
        <w:gridCol w:w="1306"/>
        <w:gridCol w:w="3647"/>
        <w:gridCol w:w="3645"/>
      </w:tblGrid>
      <w:tr w:rsidR="00B63A85" w14:paraId="5DE8C18A" w14:textId="77777777">
        <w:trPr>
          <w:cantSplit/>
          <w:tblHeader/>
        </w:trPr>
        <w:tc>
          <w:tcPr>
            <w:tcW w:w="1306" w:type="dxa"/>
            <w:tcBorders>
              <w:top w:val="single" w:sz="4" w:space="0" w:color="7F7F7F"/>
              <w:left w:val="single" w:sz="4" w:space="0" w:color="7F7F7F"/>
              <w:bottom w:val="single" w:sz="4" w:space="0" w:color="7F7F7F"/>
              <w:right w:val="single" w:sz="4" w:space="0" w:color="7F7F7F"/>
            </w:tcBorders>
            <w:shd w:val="clear" w:color="auto" w:fill="EDEDED"/>
          </w:tcPr>
          <w:p w14:paraId="06869A63" w14:textId="77777777" w:rsidR="00B63A85" w:rsidRDefault="00C0062E">
            <w:pPr>
              <w:pStyle w:val="TableParagraph"/>
              <w:keepNext/>
              <w:spacing w:before="20" w:after="20" w:line="218" w:lineRule="auto"/>
              <w:ind w:left="40"/>
            </w:pPr>
            <w:r>
              <w:rPr>
                <w:b/>
                <w:bCs/>
                <w:sz w:val="17"/>
                <w:szCs w:val="17"/>
              </w:rPr>
              <w:t>Elemento</w:t>
            </w:r>
          </w:p>
        </w:tc>
        <w:tc>
          <w:tcPr>
            <w:tcW w:w="3647" w:type="dxa"/>
            <w:tcBorders>
              <w:top w:val="single" w:sz="4" w:space="0" w:color="7F7F7F"/>
              <w:left w:val="single" w:sz="4" w:space="0" w:color="7F7F7F"/>
              <w:bottom w:val="single" w:sz="4" w:space="0" w:color="7F7F7F"/>
              <w:right w:val="single" w:sz="4" w:space="0" w:color="7F7F7F"/>
            </w:tcBorders>
            <w:shd w:val="clear" w:color="auto" w:fill="EDEDED"/>
          </w:tcPr>
          <w:p w14:paraId="74DD8D58" w14:textId="77777777" w:rsidR="00B63A85" w:rsidRDefault="00C0062E">
            <w:pPr>
              <w:pStyle w:val="TableParagraph"/>
              <w:keepNext/>
              <w:spacing w:before="20" w:after="20" w:line="218" w:lineRule="auto"/>
              <w:ind w:left="40"/>
            </w:pPr>
            <w:r>
              <w:rPr>
                <w:b/>
                <w:bCs/>
                <w:sz w:val="17"/>
                <w:szCs w:val="17"/>
              </w:rPr>
              <w:t>Definición</w:t>
            </w:r>
          </w:p>
        </w:tc>
        <w:tc>
          <w:tcPr>
            <w:tcW w:w="3645" w:type="dxa"/>
            <w:tcBorders>
              <w:top w:val="single" w:sz="4" w:space="0" w:color="7F7F7F"/>
              <w:left w:val="single" w:sz="4" w:space="0" w:color="7F7F7F"/>
              <w:bottom w:val="single" w:sz="4" w:space="0" w:color="7F7F7F"/>
              <w:right w:val="single" w:sz="4" w:space="0" w:color="7F7F7F"/>
            </w:tcBorders>
            <w:shd w:val="clear" w:color="auto" w:fill="EDEDED"/>
          </w:tcPr>
          <w:p w14:paraId="728470D0" w14:textId="77777777" w:rsidR="00B63A85" w:rsidRDefault="00C0062E">
            <w:pPr>
              <w:pStyle w:val="TableParagraph"/>
              <w:keepNext/>
              <w:spacing w:before="20" w:after="20" w:line="218" w:lineRule="auto"/>
              <w:ind w:left="40"/>
            </w:pPr>
            <w:r>
              <w:rPr>
                <w:b/>
                <w:bCs/>
                <w:sz w:val="17"/>
                <w:szCs w:val="17"/>
              </w:rPr>
              <w:t>Justificación</w:t>
            </w:r>
          </w:p>
        </w:tc>
      </w:tr>
      <w:tr w:rsidR="00B63A85" w14:paraId="29C172C6" w14:textId="77777777">
        <w:trPr>
          <w:cantSplit/>
        </w:trPr>
        <w:tc>
          <w:tcPr>
            <w:tcW w:w="1306" w:type="dxa"/>
            <w:tcBorders>
              <w:top w:val="single" w:sz="4" w:space="0" w:color="7F7F7F"/>
              <w:left w:val="single" w:sz="4" w:space="0" w:color="7F7F7F"/>
              <w:bottom w:val="single" w:sz="4" w:space="0" w:color="7F7F7F"/>
              <w:right w:val="single" w:sz="4" w:space="0" w:color="7F7F7F"/>
            </w:tcBorders>
          </w:tcPr>
          <w:p w14:paraId="4555AD37" w14:textId="77777777" w:rsidR="00B63A85" w:rsidRDefault="00C0062E">
            <w:pPr>
              <w:pStyle w:val="TableParagraph"/>
              <w:spacing w:before="20" w:after="20" w:line="218" w:lineRule="auto"/>
              <w:ind w:left="40"/>
            </w:pPr>
            <w:r>
              <w:rPr>
                <w:sz w:val="17"/>
                <w:szCs w:val="17"/>
              </w:rPr>
              <w:t>Unidad</w:t>
            </w:r>
          </w:p>
        </w:tc>
        <w:tc>
          <w:tcPr>
            <w:tcW w:w="3647" w:type="dxa"/>
            <w:tcBorders>
              <w:top w:val="single" w:sz="4" w:space="0" w:color="7F7F7F"/>
              <w:left w:val="single" w:sz="4" w:space="0" w:color="7F7F7F"/>
              <w:bottom w:val="single" w:sz="4" w:space="0" w:color="7F7F7F"/>
              <w:right w:val="single" w:sz="4" w:space="0" w:color="7F7F7F"/>
            </w:tcBorders>
          </w:tcPr>
          <w:p w14:paraId="02E2E7E8" w14:textId="77777777" w:rsidR="00B63A85" w:rsidRDefault="00C0062E">
            <w:pPr>
              <w:pStyle w:val="TableParagraph"/>
              <w:spacing w:before="20" w:after="20" w:line="218" w:lineRule="auto"/>
              <w:ind w:left="40"/>
            </w:pPr>
            <w:r>
              <w:rPr>
                <w:sz w:val="17"/>
                <w:szCs w:val="17"/>
              </w:rPr>
              <w:t>usuario – vehículo – ventana</w:t>
            </w:r>
          </w:p>
        </w:tc>
        <w:tc>
          <w:tcPr>
            <w:tcW w:w="3645" w:type="dxa"/>
            <w:tcBorders>
              <w:top w:val="single" w:sz="4" w:space="0" w:color="7F7F7F"/>
              <w:left w:val="single" w:sz="4" w:space="0" w:color="7F7F7F"/>
              <w:bottom w:val="single" w:sz="4" w:space="0" w:color="7F7F7F"/>
              <w:right w:val="single" w:sz="4" w:space="0" w:color="7F7F7F"/>
            </w:tcBorders>
          </w:tcPr>
          <w:p w14:paraId="55E7695A" w14:textId="77777777" w:rsidR="00B63A85" w:rsidRDefault="00C0062E">
            <w:pPr>
              <w:pStyle w:val="TableParagraph"/>
              <w:spacing w:before="20" w:after="20" w:line="218" w:lineRule="auto"/>
              <w:ind w:left="40"/>
            </w:pPr>
            <w:r>
              <w:rPr>
                <w:sz w:val="17"/>
                <w:szCs w:val="17"/>
              </w:rPr>
              <w:t>Lo pide la ficha; el riesgo es del vehículo, la acción es sobre el usuario</w:t>
            </w:r>
          </w:p>
        </w:tc>
      </w:tr>
      <w:tr w:rsidR="00B63A85" w14:paraId="0AA2E892" w14:textId="77777777">
        <w:trPr>
          <w:cantSplit/>
        </w:trPr>
        <w:tc>
          <w:tcPr>
            <w:tcW w:w="1306" w:type="dxa"/>
            <w:tcBorders>
              <w:top w:val="single" w:sz="4" w:space="0" w:color="7F7F7F"/>
              <w:left w:val="single" w:sz="4" w:space="0" w:color="7F7F7F"/>
              <w:bottom w:val="single" w:sz="4" w:space="0" w:color="7F7F7F"/>
              <w:right w:val="single" w:sz="4" w:space="0" w:color="7F7F7F"/>
            </w:tcBorders>
          </w:tcPr>
          <w:p w14:paraId="7D5CCE92" w14:textId="77777777" w:rsidR="00B63A85" w:rsidRDefault="00C0062E">
            <w:pPr>
              <w:pStyle w:val="TableParagraph"/>
              <w:spacing w:before="20" w:after="20" w:line="218" w:lineRule="auto"/>
              <w:ind w:left="40"/>
            </w:pPr>
            <w:r>
              <w:rPr>
                <w:sz w:val="17"/>
                <w:szCs w:val="17"/>
              </w:rPr>
              <w:t>Ancla</w:t>
            </w:r>
          </w:p>
        </w:tc>
        <w:tc>
          <w:tcPr>
            <w:tcW w:w="3647" w:type="dxa"/>
            <w:tcBorders>
              <w:top w:val="single" w:sz="4" w:space="0" w:color="7F7F7F"/>
              <w:left w:val="single" w:sz="4" w:space="0" w:color="7F7F7F"/>
              <w:bottom w:val="single" w:sz="4" w:space="0" w:color="7F7F7F"/>
              <w:right w:val="single" w:sz="4" w:space="0" w:color="7F7F7F"/>
            </w:tcBorders>
          </w:tcPr>
          <w:p w14:paraId="6C6DC387" w14:textId="77777777" w:rsidR="00B63A85" w:rsidRDefault="00C0062E">
            <w:pPr>
              <w:pStyle w:val="TableParagraph"/>
              <w:spacing w:before="20" w:after="20" w:line="218" w:lineRule="auto"/>
              <w:ind w:left="40"/>
            </w:pPr>
            <w:r>
              <w:rPr>
                <w:sz w:val="17"/>
                <w:szCs w:val="17"/>
              </w:rPr>
              <w:t>último mantenimiento programado completado; inicio de garantía para el primer service</w:t>
            </w:r>
          </w:p>
        </w:tc>
        <w:tc>
          <w:tcPr>
            <w:tcW w:w="3645" w:type="dxa"/>
            <w:tcBorders>
              <w:top w:val="single" w:sz="4" w:space="0" w:color="7F7F7F"/>
              <w:left w:val="single" w:sz="4" w:space="0" w:color="7F7F7F"/>
              <w:bottom w:val="single" w:sz="4" w:space="0" w:color="7F7F7F"/>
              <w:right w:val="single" w:sz="4" w:space="0" w:color="7F7F7F"/>
            </w:tcBorders>
          </w:tcPr>
          <w:p w14:paraId="49F3020F" w14:textId="77777777" w:rsidR="00B63A85" w:rsidRDefault="00C0062E">
            <w:pPr>
              <w:pStyle w:val="TableParagraph"/>
              <w:spacing w:before="20" w:after="20" w:line="218" w:lineRule="auto"/>
              <w:ind w:left="40"/>
            </w:pPr>
            <w:r>
              <w:rPr>
                <w:sz w:val="17"/>
                <w:szCs w:val="17"/>
              </w:rPr>
              <w:t>Reproduce cómo "le toca" a cada vehículo</w:t>
            </w:r>
          </w:p>
        </w:tc>
      </w:tr>
      <w:tr w:rsidR="00B63A85" w14:paraId="2AF480E9" w14:textId="77777777">
        <w:trPr>
          <w:cantSplit/>
        </w:trPr>
        <w:tc>
          <w:tcPr>
            <w:tcW w:w="1306" w:type="dxa"/>
            <w:tcBorders>
              <w:top w:val="single" w:sz="4" w:space="0" w:color="7F7F7F"/>
              <w:left w:val="single" w:sz="4" w:space="0" w:color="7F7F7F"/>
              <w:bottom w:val="single" w:sz="4" w:space="0" w:color="7F7F7F"/>
              <w:right w:val="single" w:sz="4" w:space="0" w:color="7F7F7F"/>
            </w:tcBorders>
          </w:tcPr>
          <w:p w14:paraId="26C0EAD4" w14:textId="77777777" w:rsidR="00B63A85" w:rsidRDefault="00C0062E">
            <w:pPr>
              <w:pStyle w:val="TableParagraph"/>
              <w:spacing w:before="20" w:after="20" w:line="218" w:lineRule="auto"/>
              <w:ind w:left="40"/>
            </w:pPr>
            <w:r>
              <w:rPr>
                <w:sz w:val="17"/>
                <w:szCs w:val="17"/>
              </w:rPr>
              <w:t>Tasa de uso</w:t>
            </w:r>
          </w:p>
        </w:tc>
        <w:tc>
          <w:tcPr>
            <w:tcW w:w="3647" w:type="dxa"/>
            <w:tcBorders>
              <w:top w:val="single" w:sz="4" w:space="0" w:color="7F7F7F"/>
              <w:left w:val="single" w:sz="4" w:space="0" w:color="7F7F7F"/>
              <w:bottom w:val="single" w:sz="4" w:space="0" w:color="7F7F7F"/>
              <w:right w:val="single" w:sz="4" w:space="0" w:color="7F7F7F"/>
            </w:tcBorders>
          </w:tcPr>
          <w:p w14:paraId="51FD8CEC" w14:textId="77777777" w:rsidR="00B63A85" w:rsidRDefault="00C0062E">
            <w:pPr>
              <w:pStyle w:val="TableParagraph"/>
              <w:spacing w:before="20" w:after="20" w:line="218" w:lineRule="auto"/>
              <w:ind w:left="40"/>
            </w:pPr>
            <w:r>
              <w:rPr>
                <w:sz w:val="17"/>
                <w:szCs w:val="17"/>
              </w:rPr>
              <w:t>km al ancla / edad del vehículo al ancla (mediana de la generación si no hay km)</w:t>
            </w:r>
          </w:p>
        </w:tc>
        <w:tc>
          <w:tcPr>
            <w:tcW w:w="3645" w:type="dxa"/>
            <w:tcBorders>
              <w:top w:val="single" w:sz="4" w:space="0" w:color="7F7F7F"/>
              <w:left w:val="single" w:sz="4" w:space="0" w:color="7F7F7F"/>
              <w:bottom w:val="single" w:sz="4" w:space="0" w:color="7F7F7F"/>
              <w:right w:val="single" w:sz="4" w:space="0" w:color="7F7F7F"/>
            </w:tcBorders>
          </w:tcPr>
          <w:p w14:paraId="071425A3" w14:textId="77777777" w:rsidR="00B63A85" w:rsidRDefault="00C0062E">
            <w:pPr>
              <w:pStyle w:val="TableParagraph"/>
              <w:spacing w:before="20" w:after="20" w:line="218" w:lineRule="auto"/>
              <w:ind w:left="40"/>
            </w:pPr>
            <w:r>
              <w:rPr>
                <w:sz w:val="17"/>
                <w:szCs w:val="17"/>
              </w:rPr>
              <w:t>Disponible en el 96 % de las anclas; concuerda con la pendiente entre visitas (Spearman 0,90)</w:t>
            </w:r>
          </w:p>
        </w:tc>
      </w:tr>
      <w:tr w:rsidR="00B63A85" w14:paraId="72811002" w14:textId="77777777">
        <w:trPr>
          <w:cantSplit/>
        </w:trPr>
        <w:tc>
          <w:tcPr>
            <w:tcW w:w="1306" w:type="dxa"/>
            <w:tcBorders>
              <w:top w:val="single" w:sz="4" w:space="0" w:color="7F7F7F"/>
              <w:left w:val="single" w:sz="4" w:space="0" w:color="7F7F7F"/>
              <w:bottom w:val="single" w:sz="4" w:space="0" w:color="7F7F7F"/>
              <w:right w:val="single" w:sz="4" w:space="0" w:color="7F7F7F"/>
            </w:tcBorders>
          </w:tcPr>
          <w:p w14:paraId="010221F2" w14:textId="77777777" w:rsidR="00B63A85" w:rsidRDefault="00C0062E">
            <w:pPr>
              <w:pStyle w:val="TableParagraph"/>
              <w:spacing w:before="20" w:after="20" w:line="218" w:lineRule="auto"/>
              <w:ind w:left="40"/>
            </w:pPr>
            <w:r>
              <w:rPr>
                <w:sz w:val="17"/>
                <w:szCs w:val="17"/>
              </w:rPr>
              <w:t>Vencimiento</w:t>
            </w:r>
          </w:p>
        </w:tc>
        <w:tc>
          <w:tcPr>
            <w:tcW w:w="3647" w:type="dxa"/>
            <w:tcBorders>
              <w:top w:val="single" w:sz="4" w:space="0" w:color="7F7F7F"/>
              <w:left w:val="single" w:sz="4" w:space="0" w:color="7F7F7F"/>
              <w:bottom w:val="single" w:sz="4" w:space="0" w:color="7F7F7F"/>
              <w:right w:val="single" w:sz="4" w:space="0" w:color="7F7F7F"/>
            </w:tcBorders>
          </w:tcPr>
          <w:p w14:paraId="49DCF656" w14:textId="77777777" w:rsidR="00B63A85" w:rsidRDefault="00C0062E">
            <w:pPr>
              <w:pStyle w:val="TableParagraph"/>
              <w:spacing w:before="20" w:after="20" w:line="218" w:lineRule="auto"/>
              <w:ind w:left="40"/>
            </w:pPr>
            <w:r>
              <w:rPr>
                <w:sz w:val="17"/>
                <w:szCs w:val="17"/>
              </w:rPr>
              <w:t>ancla + min(365 días, K / tasa de uso), K = 16.000 km (P703) / 10.000 km (P375); primer service: garantía + 300 días</w:t>
            </w:r>
          </w:p>
        </w:tc>
        <w:tc>
          <w:tcPr>
            <w:tcW w:w="3645" w:type="dxa"/>
            <w:tcBorders>
              <w:top w:val="single" w:sz="4" w:space="0" w:color="7F7F7F"/>
              <w:left w:val="single" w:sz="4" w:space="0" w:color="7F7F7F"/>
              <w:bottom w:val="single" w:sz="4" w:space="0" w:color="7F7F7F"/>
              <w:right w:val="single" w:sz="4" w:space="0" w:color="7F7F7F"/>
            </w:tcBorders>
          </w:tcPr>
          <w:p w14:paraId="3CE32EA4" w14:textId="77777777" w:rsidR="00B63A85" w:rsidRDefault="00C0062E">
            <w:pPr>
              <w:pStyle w:val="TableParagraph"/>
              <w:spacing w:before="20" w:after="20" w:line="218" w:lineRule="auto"/>
              <w:ind w:left="40"/>
            </w:pPr>
            <w:r>
              <w:rPr>
                <w:sz w:val="17"/>
                <w:szCs w:val="17"/>
              </w:rPr>
              <w:t>Centra el retraso real del retorno cerca del vencimiento (mediana de un dígito de días)</w:t>
            </w:r>
          </w:p>
        </w:tc>
      </w:tr>
      <w:tr w:rsidR="00B63A85" w14:paraId="756ECB5F" w14:textId="77777777">
        <w:trPr>
          <w:cantSplit/>
        </w:trPr>
        <w:tc>
          <w:tcPr>
            <w:tcW w:w="1306" w:type="dxa"/>
            <w:tcBorders>
              <w:top w:val="single" w:sz="4" w:space="0" w:color="7F7F7F"/>
              <w:left w:val="single" w:sz="4" w:space="0" w:color="7F7F7F"/>
              <w:bottom w:val="single" w:sz="4" w:space="0" w:color="7F7F7F"/>
              <w:right w:val="single" w:sz="4" w:space="0" w:color="7F7F7F"/>
            </w:tcBorders>
          </w:tcPr>
          <w:p w14:paraId="5C501309" w14:textId="77777777" w:rsidR="00B63A85" w:rsidRDefault="00C0062E">
            <w:pPr>
              <w:pStyle w:val="TableParagraph"/>
              <w:spacing w:before="20" w:after="20" w:line="218" w:lineRule="auto"/>
              <w:ind w:left="40"/>
            </w:pPr>
            <w:r>
              <w:rPr>
                <w:sz w:val="17"/>
                <w:szCs w:val="17"/>
              </w:rPr>
              <w:t>Apertura y scoring</w:t>
            </w:r>
          </w:p>
        </w:tc>
        <w:tc>
          <w:tcPr>
            <w:tcW w:w="3647" w:type="dxa"/>
            <w:tcBorders>
              <w:top w:val="single" w:sz="4" w:space="0" w:color="7F7F7F"/>
              <w:left w:val="single" w:sz="4" w:space="0" w:color="7F7F7F"/>
              <w:bottom w:val="single" w:sz="4" w:space="0" w:color="7F7F7F"/>
              <w:right w:val="single" w:sz="4" w:space="0" w:color="7F7F7F"/>
            </w:tcBorders>
          </w:tcPr>
          <w:p w14:paraId="06F73948" w14:textId="77777777" w:rsidR="00B63A85" w:rsidRDefault="00C0062E">
            <w:pPr>
              <w:pStyle w:val="TableParagraph"/>
              <w:spacing w:before="20" w:after="20" w:line="218" w:lineRule="auto"/>
              <w:ind w:left="40"/>
            </w:pPr>
            <w:r>
              <w:rPr>
                <w:sz w:val="17"/>
                <w:szCs w:val="17"/>
              </w:rPr>
              <w:t>vencimiento − 30 días</w:t>
            </w:r>
          </w:p>
        </w:tc>
        <w:tc>
          <w:tcPr>
            <w:tcW w:w="3645" w:type="dxa"/>
            <w:tcBorders>
              <w:top w:val="single" w:sz="4" w:space="0" w:color="7F7F7F"/>
              <w:left w:val="single" w:sz="4" w:space="0" w:color="7F7F7F"/>
              <w:bottom w:val="single" w:sz="4" w:space="0" w:color="7F7F7F"/>
              <w:right w:val="single" w:sz="4" w:space="0" w:color="7F7F7F"/>
            </w:tcBorders>
          </w:tcPr>
          <w:p w14:paraId="555D400B" w14:textId="77777777" w:rsidR="00B63A85" w:rsidRDefault="00C0062E">
            <w:pPr>
              <w:pStyle w:val="TableParagraph"/>
              <w:spacing w:before="20" w:after="20" w:line="218" w:lineRule="auto"/>
              <w:ind w:left="40"/>
            </w:pPr>
            <w:r>
              <w:rPr>
                <w:sz w:val="17"/>
                <w:szCs w:val="17"/>
              </w:rPr>
              <w:t>80 % de las ventanas abiertas; horizonte corto</w:t>
            </w:r>
          </w:p>
        </w:tc>
      </w:tr>
      <w:tr w:rsidR="00B63A85" w14:paraId="016F9563" w14:textId="77777777">
        <w:trPr>
          <w:cantSplit/>
        </w:trPr>
        <w:tc>
          <w:tcPr>
            <w:tcW w:w="1306" w:type="dxa"/>
            <w:tcBorders>
              <w:top w:val="single" w:sz="4" w:space="0" w:color="7F7F7F"/>
              <w:left w:val="single" w:sz="4" w:space="0" w:color="7F7F7F"/>
              <w:bottom w:val="single" w:sz="4" w:space="0" w:color="7F7F7F"/>
              <w:right w:val="single" w:sz="4" w:space="0" w:color="7F7F7F"/>
            </w:tcBorders>
          </w:tcPr>
          <w:p w14:paraId="367CF280" w14:textId="77777777" w:rsidR="00B63A85" w:rsidRDefault="00C0062E">
            <w:pPr>
              <w:pStyle w:val="TableParagraph"/>
              <w:spacing w:before="20" w:after="20" w:line="218" w:lineRule="auto"/>
              <w:ind w:left="40"/>
            </w:pPr>
            <w:r>
              <w:rPr>
                <w:sz w:val="17"/>
                <w:szCs w:val="17"/>
              </w:rPr>
              <w:t>Horizonte</w:t>
            </w:r>
          </w:p>
        </w:tc>
        <w:tc>
          <w:tcPr>
            <w:tcW w:w="3647" w:type="dxa"/>
            <w:tcBorders>
              <w:top w:val="single" w:sz="4" w:space="0" w:color="7F7F7F"/>
              <w:left w:val="single" w:sz="4" w:space="0" w:color="7F7F7F"/>
              <w:bottom w:val="single" w:sz="4" w:space="0" w:color="7F7F7F"/>
              <w:right w:val="single" w:sz="4" w:space="0" w:color="7F7F7F"/>
            </w:tcBorders>
          </w:tcPr>
          <w:p w14:paraId="726FDD0E" w14:textId="77777777" w:rsidR="00B63A85" w:rsidRDefault="00C0062E">
            <w:pPr>
              <w:pStyle w:val="TableParagraph"/>
              <w:spacing w:before="20" w:after="20" w:line="218" w:lineRule="auto"/>
              <w:ind w:left="40"/>
            </w:pPr>
            <w:r>
              <w:rPr>
                <w:sz w:val="17"/>
                <w:szCs w:val="17"/>
              </w:rPr>
              <w:t>vencimiento + 90 días</w:t>
            </w:r>
          </w:p>
        </w:tc>
        <w:tc>
          <w:tcPr>
            <w:tcW w:w="3645" w:type="dxa"/>
            <w:tcBorders>
              <w:top w:val="single" w:sz="4" w:space="0" w:color="7F7F7F"/>
              <w:left w:val="single" w:sz="4" w:space="0" w:color="7F7F7F"/>
              <w:bottom w:val="single" w:sz="4" w:space="0" w:color="7F7F7F"/>
              <w:right w:val="single" w:sz="4" w:space="0" w:color="7F7F7F"/>
            </w:tcBorders>
          </w:tcPr>
          <w:p w14:paraId="48806A01" w14:textId="77777777" w:rsidR="00B63A85" w:rsidRDefault="00C0062E">
            <w:pPr>
              <w:pStyle w:val="TableParagraph"/>
              <w:spacing w:before="20" w:after="20" w:line="218" w:lineRule="auto"/>
              <w:ind w:left="40"/>
            </w:pPr>
            <w:r>
              <w:rPr>
                <w:sz w:val="17"/>
                <w:szCs w:val="17"/>
              </w:rPr>
              <w:t>Captura el 84 % de los retornos de quienes vuelven en 18 meses</w:t>
            </w:r>
          </w:p>
        </w:tc>
      </w:tr>
      <w:tr w:rsidR="00B63A85" w14:paraId="0CD121BA" w14:textId="77777777">
        <w:trPr>
          <w:cantSplit/>
        </w:trPr>
        <w:tc>
          <w:tcPr>
            <w:tcW w:w="1306" w:type="dxa"/>
            <w:tcBorders>
              <w:top w:val="single" w:sz="4" w:space="0" w:color="7F7F7F"/>
              <w:left w:val="single" w:sz="4" w:space="0" w:color="7F7F7F"/>
              <w:bottom w:val="single" w:sz="4" w:space="0" w:color="7F7F7F"/>
              <w:right w:val="single" w:sz="4" w:space="0" w:color="7F7F7F"/>
            </w:tcBorders>
          </w:tcPr>
          <w:p w14:paraId="30C2B575" w14:textId="77777777" w:rsidR="00B63A85" w:rsidRDefault="00C0062E">
            <w:pPr>
              <w:pStyle w:val="TableParagraph"/>
              <w:spacing w:before="20" w:after="20" w:line="218" w:lineRule="auto"/>
              <w:ind w:left="40"/>
            </w:pPr>
            <w:r>
              <w:rPr>
                <w:sz w:val="17"/>
                <w:szCs w:val="17"/>
              </w:rPr>
              <w:t>Target</w:t>
            </w:r>
          </w:p>
        </w:tc>
        <w:tc>
          <w:tcPr>
            <w:tcW w:w="3647" w:type="dxa"/>
            <w:tcBorders>
              <w:top w:val="single" w:sz="4" w:space="0" w:color="7F7F7F"/>
              <w:left w:val="single" w:sz="4" w:space="0" w:color="7F7F7F"/>
              <w:bottom w:val="single" w:sz="4" w:space="0" w:color="7F7F7F"/>
              <w:right w:val="single" w:sz="4" w:space="0" w:color="7F7F7F"/>
            </w:tcBorders>
          </w:tcPr>
          <w:p w14:paraId="38B80FB7" w14:textId="77777777" w:rsidR="00B63A85" w:rsidRDefault="00C0062E">
            <w:pPr>
              <w:pStyle w:val="TableParagraph"/>
              <w:spacing w:before="20" w:after="20" w:line="218" w:lineRule="auto"/>
              <w:ind w:left="40"/>
            </w:pPr>
            <w:r>
              <w:rPr>
                <w:sz w:val="17"/>
                <w:szCs w:val="17"/>
              </w:rPr>
              <w:t>churn = 1 si no hay mantenimiento completado en la red oficial entre la apertura y el cierre del horizonte</w:t>
            </w:r>
          </w:p>
        </w:tc>
        <w:tc>
          <w:tcPr>
            <w:tcW w:w="3645" w:type="dxa"/>
            <w:tcBorders>
              <w:top w:val="single" w:sz="4" w:space="0" w:color="7F7F7F"/>
              <w:left w:val="single" w:sz="4" w:space="0" w:color="7F7F7F"/>
              <w:bottom w:val="single" w:sz="4" w:space="0" w:color="7F7F7F"/>
              <w:right w:val="single" w:sz="4" w:space="0" w:color="7F7F7F"/>
            </w:tcBorders>
          </w:tcPr>
          <w:p w14:paraId="083FA607" w14:textId="77777777" w:rsidR="00B63A85" w:rsidRDefault="00C0062E">
            <w:pPr>
              <w:pStyle w:val="TableParagraph"/>
              <w:spacing w:before="20" w:after="20" w:line="218" w:lineRule="auto"/>
              <w:ind w:left="40"/>
            </w:pPr>
            <w:r>
              <w:rPr>
                <w:sz w:val="17"/>
                <w:szCs w:val="17"/>
              </w:rPr>
              <w:t>Definición de la ficha</w:t>
            </w:r>
          </w:p>
        </w:tc>
      </w:tr>
      <w:tr w:rsidR="00B63A85" w14:paraId="3E0205D3" w14:textId="77777777">
        <w:trPr>
          <w:cantSplit/>
        </w:trPr>
        <w:tc>
          <w:tcPr>
            <w:tcW w:w="1306" w:type="dxa"/>
            <w:tcBorders>
              <w:top w:val="single" w:sz="4" w:space="0" w:color="7F7F7F"/>
              <w:left w:val="single" w:sz="4" w:space="0" w:color="7F7F7F"/>
              <w:bottom w:val="single" w:sz="4" w:space="0" w:color="7F7F7F"/>
              <w:right w:val="single" w:sz="4" w:space="0" w:color="7F7F7F"/>
            </w:tcBorders>
          </w:tcPr>
          <w:p w14:paraId="4E07A57A" w14:textId="77777777" w:rsidR="00B63A85" w:rsidRDefault="00C0062E">
            <w:pPr>
              <w:pStyle w:val="TableParagraph"/>
              <w:spacing w:before="20" w:after="20" w:line="218" w:lineRule="auto"/>
              <w:ind w:left="40"/>
            </w:pPr>
            <w:r>
              <w:rPr>
                <w:sz w:val="17"/>
                <w:szCs w:val="17"/>
              </w:rPr>
              <w:t>Censura</w:t>
            </w:r>
          </w:p>
        </w:tc>
        <w:tc>
          <w:tcPr>
            <w:tcW w:w="3647" w:type="dxa"/>
            <w:tcBorders>
              <w:top w:val="single" w:sz="4" w:space="0" w:color="7F7F7F"/>
              <w:left w:val="single" w:sz="4" w:space="0" w:color="7F7F7F"/>
              <w:bottom w:val="single" w:sz="4" w:space="0" w:color="7F7F7F"/>
              <w:right w:val="single" w:sz="4" w:space="0" w:color="7F7F7F"/>
            </w:tcBorders>
          </w:tcPr>
          <w:p w14:paraId="1664090C" w14:textId="77777777" w:rsidR="00B63A85" w:rsidRDefault="00C0062E">
            <w:pPr>
              <w:pStyle w:val="TableParagraph"/>
              <w:spacing w:before="20" w:after="20" w:line="218" w:lineRule="auto"/>
              <w:ind w:left="40"/>
            </w:pPr>
            <w:r>
              <w:rPr>
                <w:sz w:val="17"/>
                <w:szCs w:val="17"/>
              </w:rPr>
              <w:t>ventanas cuyo horizonte no cerró 30 días antes del corte: no se etiquetan; son la población a scorear hoy</w:t>
            </w:r>
          </w:p>
        </w:tc>
        <w:tc>
          <w:tcPr>
            <w:tcW w:w="3645" w:type="dxa"/>
            <w:tcBorders>
              <w:top w:val="single" w:sz="4" w:space="0" w:color="7F7F7F"/>
              <w:left w:val="single" w:sz="4" w:space="0" w:color="7F7F7F"/>
              <w:bottom w:val="single" w:sz="4" w:space="0" w:color="7F7F7F"/>
              <w:right w:val="single" w:sz="4" w:space="0" w:color="7F7F7F"/>
            </w:tcBorders>
          </w:tcPr>
          <w:p w14:paraId="16BBCF07" w14:textId="77777777" w:rsidR="00B63A85" w:rsidRDefault="00C0062E">
            <w:pPr>
              <w:pStyle w:val="TableParagraph"/>
              <w:spacing w:before="20" w:after="20" w:line="218" w:lineRule="auto"/>
              <w:ind w:left="40"/>
            </w:pPr>
            <w:r>
              <w:rPr>
                <w:sz w:val="17"/>
                <w:szCs w:val="17"/>
              </w:rPr>
              <w:t>Definición de la ficha</w:t>
            </w:r>
          </w:p>
        </w:tc>
      </w:tr>
      <w:tr w:rsidR="00B63A85" w14:paraId="6385E279" w14:textId="77777777">
        <w:trPr>
          <w:cantSplit/>
        </w:trPr>
        <w:tc>
          <w:tcPr>
            <w:tcW w:w="1306" w:type="dxa"/>
            <w:tcBorders>
              <w:top w:val="single" w:sz="4" w:space="0" w:color="7F7F7F"/>
              <w:left w:val="single" w:sz="4" w:space="0" w:color="7F7F7F"/>
              <w:bottom w:val="single" w:sz="4" w:space="0" w:color="7F7F7F"/>
              <w:right w:val="single" w:sz="4" w:space="0" w:color="7F7F7F"/>
            </w:tcBorders>
          </w:tcPr>
          <w:p w14:paraId="6EA65806" w14:textId="77777777" w:rsidR="00B63A85" w:rsidRDefault="00C0062E">
            <w:pPr>
              <w:pStyle w:val="TableParagraph"/>
              <w:spacing w:before="20" w:after="20" w:line="218" w:lineRule="auto"/>
              <w:ind w:left="40"/>
            </w:pPr>
            <w:r>
              <w:rPr>
                <w:sz w:val="17"/>
                <w:szCs w:val="17"/>
              </w:rPr>
              <w:t>Población resultante</w:t>
            </w:r>
          </w:p>
        </w:tc>
        <w:tc>
          <w:tcPr>
            <w:tcW w:w="3647" w:type="dxa"/>
            <w:tcBorders>
              <w:top w:val="single" w:sz="4" w:space="0" w:color="7F7F7F"/>
              <w:left w:val="single" w:sz="4" w:space="0" w:color="7F7F7F"/>
              <w:bottom w:val="single" w:sz="4" w:space="0" w:color="7F7F7F"/>
              <w:right w:val="single" w:sz="4" w:space="0" w:color="7F7F7F"/>
            </w:tcBorders>
          </w:tcPr>
          <w:p w14:paraId="7E8BDF5A" w14:textId="77777777" w:rsidR="00B63A85" w:rsidRDefault="00C0062E">
            <w:pPr>
              <w:pStyle w:val="TableParagraph"/>
              <w:spacing w:before="20" w:after="20" w:line="218" w:lineRule="auto"/>
              <w:ind w:left="40"/>
            </w:pPr>
            <w:r>
              <w:rPr>
                <w:sz w:val="17"/>
                <w:szCs w:val="17"/>
              </w:rPr>
              <w:t>142.637 ventanas evaluables (2024-2026), churn 41,6 %; 35.190 ventanas abiertas al corte</w:t>
            </w:r>
          </w:p>
        </w:tc>
        <w:tc>
          <w:tcPr>
            <w:tcW w:w="3645" w:type="dxa"/>
            <w:tcBorders>
              <w:top w:val="single" w:sz="4" w:space="0" w:color="7F7F7F"/>
              <w:left w:val="single" w:sz="4" w:space="0" w:color="7F7F7F"/>
              <w:bottom w:val="single" w:sz="4" w:space="0" w:color="7F7F7F"/>
              <w:right w:val="single" w:sz="4" w:space="0" w:color="7F7F7F"/>
            </w:tcBorders>
          </w:tcPr>
          <w:p w14:paraId="57048597" w14:textId="77777777" w:rsidR="00B63A85" w:rsidRDefault="00C0062E">
            <w:pPr>
              <w:pStyle w:val="TableParagraph"/>
              <w:spacing w:before="20" w:after="20" w:line="218" w:lineRule="auto"/>
              <w:ind w:left="40"/>
            </w:pPr>
            <w:r>
              <w:rPr>
                <w:sz w:val="17"/>
                <w:szCs w:val="17"/>
              </w:rPr>
              <w:t>Quedan fuera 17.973 vehículos entregados antes de 2024 sin ningún mantenimiento en 2024-26: no tienen ancla observable</w:t>
            </w:r>
          </w:p>
        </w:tc>
      </w:tr>
    </w:tbl>
    <w:p w14:paraId="224E1606" w14:textId="77777777" w:rsidR="00B63A85" w:rsidRDefault="00B63A85">
      <w:pPr>
        <w:pStyle w:val="BodyText"/>
        <w:spacing w:before="20" w:line="264" w:lineRule="auto"/>
        <w:ind w:left="170" w:right="120"/>
        <w:jc w:val="both"/>
      </w:pPr>
    </w:p>
    <w:p w14:paraId="28AFA465" w14:textId="77777777" w:rsidR="00B63A85" w:rsidRDefault="00C0062E">
      <w:pPr>
        <w:pStyle w:val="BodyText"/>
        <w:spacing w:before="90" w:line="264" w:lineRule="auto"/>
        <w:ind w:left="170" w:right="120"/>
        <w:jc w:val="both"/>
      </w:pPr>
      <w:r>
        <w:rPr>
          <w:b/>
          <w:bCs/>
          <w:i w:val="0"/>
          <w:iCs w:val="0"/>
          <w:sz w:val="20"/>
          <w:szCs w:val="20"/>
        </w:rPr>
        <w:t xml:space="preserve">Alternativas descartadas</w:t>
      </w:r>
      <w:r>
        <w:rPr>
          <w:i w:val="0"/>
          <w:iCs w:val="0"/>
          <w:sz w:val="20"/>
          <w:szCs w:val="20"/>
        </w:rPr>
        <w:t xml:space="preserve"> (probamos 36 combinaciones de parámetros):</w:t>
      </w:r>
    </w:p>
    <w:p w14:paraId="754283B7" w14:textId="77777777" w:rsidR="00B63A85" w:rsidRDefault="00C0062E">
      <w:pPr>
        <w:pStyle w:val="ListParagraph"/>
        <w:numPr>
          <w:ilvl w:val="0"/>
          <w:numId w:val="2"/>
        </w:numPr>
        <w:spacing w:before="50" w:line="259" w:lineRule="auto"/>
        <w:ind w:right="120"/>
        <w:jc w:val="both"/>
      </w:pPr>
      <w:r>
        <w:rPr>
          <w:sz w:val="20"/>
          <w:szCs w:val="20"/>
        </w:rPr>
        <w:t xml:space="preserve">Regla de "un año": 66.589 ventanas, 58 % de churn y sólo el 18 % de los retornos dentro de la ventana; el 86 % de los clientes ya había vuelto antes de que abriera.</w:t>
      </w:r>
    </w:p>
    <w:p w14:paraId="13C3F932" w14:textId="77777777" w:rsidR="00B63A85" w:rsidRDefault="00C0062E">
      <w:pPr>
        <w:pStyle w:val="ListParagraph"/>
        <w:numPr>
          <w:ilvl w:val="0"/>
          <w:numId w:val="2"/>
        </w:numPr>
        <w:spacing w:before="50" w:line="259" w:lineRule="auto"/>
        <w:ind w:right="120"/>
        <w:jc w:val="both"/>
      </w:pPr>
      <w:r>
        <w:rPr>
          <w:sz w:val="20"/>
          <w:szCs w:val="20"/>
        </w:rPr>
        <w:t>Aniversarios del plan (12·n meses): 76 % de churn y 17 % de captura.</w:t>
      </w:r>
    </w:p>
    <w:p w14:paraId="603BB46D" w14:textId="77777777" w:rsidR="00B63A85" w:rsidRDefault="00C0062E">
      <w:pPr>
        <w:pStyle w:val="ListParagraph"/>
        <w:numPr>
          <w:ilvl w:val="0"/>
          <w:numId w:val="2"/>
        </w:numPr>
        <w:spacing w:before="50" w:line="259" w:lineRule="auto"/>
        <w:ind w:right="120"/>
        <w:jc w:val="both"/>
      </w:pPr>
      <w:r>
        <w:rPr>
          <w:sz w:val="20"/>
          <w:szCs w:val="20"/>
        </w:rPr>
        <w:t xml:space="preserve">Un único K para todo el parque: con 16.000 km la P375 vence un mes tarde (más de la mitad ya volvió cuando abre la ventana); con 10.000 km la P703 vence antes de tiempo.</w:t>
      </w:r>
    </w:p>
    <w:p w14:paraId="6D859B74" w14:textId="77777777" w:rsidR="00B63A85" w:rsidRDefault="00C0062E">
      <w:pPr>
        <w:pStyle w:val="ListParagraph"/>
        <w:numPr>
          <w:ilvl w:val="0"/>
          <w:numId w:val="2"/>
        </w:numPr>
        <w:spacing w:before="50" w:line="259" w:lineRule="auto"/>
        <w:ind w:right="120"/>
        <w:jc w:val="both"/>
      </w:pPr>
      <w:r>
        <w:rPr>
          <w:sz w:val="20"/>
          <w:szCs w:val="20"/>
        </w:rPr>
        <w:t xml:space="preserve">Apertura a −60 días: captura más retornos (64 % contra 53 %), pero la ventana pasa a durar 150 días. Queda como opción si los concesionarios quieren contactar con más anticipación.</w:t>
      </w:r>
    </w:p>
    <w:p w14:paraId="39A99386" w14:textId="77777777" w:rsidR="00B63A85" w:rsidRDefault="00C0062E">
      <w:pPr>
        <w:pStyle w:val="ListParagraph"/>
        <w:numPr>
          <w:ilvl w:val="0"/>
          <w:numId w:val="2"/>
        </w:numPr>
        <w:spacing w:before="50" w:line="259" w:lineRule="auto"/>
        <w:ind w:right="120"/>
        <w:jc w:val="both"/>
      </w:pPr>
      <w:r>
        <w:rPr>
          <w:sz w:val="20"/>
          <w:szCs w:val="20"/>
        </w:rPr>
        <w:t xml:space="preserve">Horizonte de +60 días: cuenta como churn a muchos que vuelven tarde (47 % de churn). Horizonte de +180 días: el resultado se conoce siete meses después, demasiado tarde para medir.</w:t>
      </w:r>
    </w:p>
    <w:p w14:paraId="398D4230" w14:textId="77777777" w:rsidR="00B63A85" w:rsidRDefault="00C0062E">
      <w:pPr>
        <w:pStyle w:val="BodyText"/>
        <w:spacing w:before="90" w:line="264" w:lineRule="auto"/>
        <w:ind w:left="170" w:right="120"/>
        <w:jc w:val="both"/>
      </w:pPr>
      <w:r>
        <w:rPr>
          <w:b/>
          <w:bCs/>
          <w:i w:val="0"/>
          <w:iCs w:val="0"/>
          <w:sz w:val="20"/>
          <w:szCs w:val="20"/>
        </w:rPr>
        <w:t xml:space="preserve">Contraste con una solución independiente.</w:t>
      </w:r>
      <w:r>
        <w:rPr>
          <w:i w:val="0"/>
          <w:iCs w:val="0"/>
          <w:sz w:val="20"/>
          <w:szCs w:val="20"/>
        </w:rPr>
        <w:t xml:space="preserve"> Un segundo equipo de análisis resolvió el mismo desafío sin ver este trabajo. Llegó a la misma población y al mismo evento, pero con un horizonte de un mes calendario, y por eso obtuvo un 78 % de churn. Al aplicar cada etiqueta sobre las ventanas de la otra solución quedó claro que la diferencia era sólo el horizonte (79,0 % contra 44,0 %) y que entre el 40 % y el 44 % de los "churn" mensuales completan el mantenimiento antes de vencimiento + 90 días. Tomamos el horizonte de 90 días como resultado principal y el scoring mensual como cadencia operativa; la validación final de ambos parámetros le corresponde al negocio.</w:t>
      </w:r>
    </w:p>
    <w:p w14:paraId="7B31025A" w14:textId="77777777" w:rsidR="00B63A85" w:rsidRDefault="00C0062E">
      <w:pPr>
        <w:pStyle w:val="Heading2"/>
        <w:keepNext/>
        <w:spacing w:before="280"/>
        <w:ind w:left="170" w:firstLine="0"/>
      </w:pPr>
      <w:r>
        <w:t>Anexo D. Features y validación temporal</w:t>
      </w:r>
    </w:p>
    <w:p w14:paraId="22342B83" w14:textId="77777777" w:rsidR="00B63A85" w:rsidRDefault="00C0062E">
      <w:pPr>
        <w:pStyle w:val="BodyText"/>
        <w:spacing w:before="90" w:line="264" w:lineRule="auto"/>
        <w:ind w:left="170" w:right="120"/>
        <w:jc w:val="both"/>
      </w:pPr>
      <w:r>
        <w:rPr>
          <w:b/>
          <w:bCs/>
          <w:i w:val="0"/>
          <w:iCs w:val="0"/>
          <w:sz w:val="20"/>
          <w:szCs w:val="20"/>
        </w:rPr>
        <w:t xml:space="preserve">Uniones temporales.</w:t>
      </w:r>
      <w:r>
        <w:rPr>
          <w:i w:val="0"/>
          <w:iCs w:val="0"/>
          <w:sz w:val="20"/>
          <w:szCs w:val="20"/>
        </w:rPr>
        <w:t xml:space="preserve"> Las features se calculan con acumulados por vehículo y merge_asof hacia atrás sin coincidencia exacta. Para una ventana con fecha de scoring t sólo entran turnos anteriores a t y encuestas respondidas antes de t.</w:t>
      </w:r>
    </w:p>
    <w:p w14:paraId="4675FAF5" w14:textId="77777777" w:rsidR="00B63A85" w:rsidRDefault="00C0062E">
      <w:pPr>
        <w:pStyle w:val="BodyText"/>
        <w:spacing w:before="90" w:line="264" w:lineRule="auto"/>
        <w:ind w:left="170" w:right="120"/>
        <w:jc w:val="both"/>
      </w:pPr>
      <w:r>
        <w:rPr>
          <w:b/>
          <w:bCs/>
          <w:i w:val="0"/>
          <w:iCs w:val="0"/>
          <w:sz w:val="20"/>
          <w:szCs w:val="20"/>
        </w:rPr>
        <w:t xml:space="preserve">Las 86 features, en nueve grupos:</w:t>
      </w:r>
      <w:r>
        <w:rPr>
          <w:i w:val="0"/>
          <w:iCs w:val="0"/>
          <w:sz w:val="20"/>
          <w:szCs w:val="20"/>
        </w:rPr>
        <w:t xml:space="preserve"> recencia (días desde el último mantenimiento, turno y visita); frecuencia e intensidad (mantenimientos por año observado, visitas, diagnósticos, reparaciones, recalls); patrón de uso (km/año, atraso en km respecto del plan, services salteados); ciclo de vida (antigüedad, n° de service, generación, versión); canal (último canal, proporción FordPass); concesionario (concesionario y zona del último mantenimiento, cambios de dealer); relación (tamaño de flota, vehículos del cliente, cambios de cliente); venta (unidad de negocio, tipo de persona, canal, provincia), y geometría de la ventana (qué regla vence primero, días al vencimiento).</w:t>
      </w:r>
    </w:p>
    <w:p w14:paraId="372975F3" w14:textId="77777777" w:rsidR="00B63A85" w:rsidRDefault="00C0062E">
      <w:pPr>
        <w:pStyle w:val="BodyText"/>
        <w:spacing w:before="90" w:line="264" w:lineRule="auto"/>
        <w:ind w:left="170" w:right="120"/>
        <w:jc w:val="both"/>
      </w:pPr>
      <w:r>
        <w:rPr>
          <w:b/>
          <w:bCs/>
          <w:i w:val="0"/>
          <w:iCs w:val="0"/>
          <w:sz w:val="20"/>
          <w:szCs w:val="20"/>
        </w:rPr>
        <w:t xml:space="preserve">Historia invisible.</w:t>
      </w:r>
      <w:r>
        <w:rPr>
          <w:i w:val="0"/>
          <w:iCs w:val="0"/>
          <w:sz w:val="20"/>
          <w:szCs w:val="20"/>
        </w:rPr>
        <w:t xml:space="preserve"> El 60 % del parque tiene garantía anterior al inicio de la agenda, así que no vemos su historia previa a 2024. Lo compensamos con la antigüedad, el n° de service y los "meses de historia observable" como features.</w:t>
      </w:r>
    </w:p>
    <w:p w14:paraId="4C9EC929" w14:textId="77777777" w:rsidR="00B63A85" w:rsidRDefault="00C0062E">
      <w:pPr>
        <w:pStyle w:val="BodyText"/>
        <w:spacing w:before="90" w:line="264" w:lineRule="auto"/>
        <w:ind w:left="170" w:right="120"/>
        <w:jc w:val="both"/>
      </w:pPr>
      <w:r>
        <w:rPr>
          <w:b/>
          <w:bCs/>
          <w:i w:val="0"/>
          <w:iCs w:val="0"/>
          <w:sz w:val="20"/>
          <w:szCs w:val="20"/>
        </w:rPr>
        <w:t xml:space="preserve">Partición temporal.</w:t>
      </w:r>
      <w:r>
        <w:rPr>
          <w:i w:val="0"/>
          <w:iCs w:val="0"/>
          <w:sz w:val="20"/>
          <w:szCs w:val="20"/>
        </w:rPr>
        <w:t xml:space="preserve"> Entrenamiento: ventanas abiertas hasta el 30/09/2025 (102.040). Calibración isotónica: octubre a diciembre de 2025 (20.888). Test: ventanas abiertas entre enero y marzo de 2026 cuyo horizonte cerró al menos 30 días antes del corte (19.709, churn 42,6 %).</w:t>
      </w:r>
    </w:p>
    <w:p w14:paraId="02981A97" w14:textId="77777777" w:rsidR="00B63A85" w:rsidRDefault="00C0062E">
      <w:pPr>
        <w:pStyle w:val="BodyText"/>
        <w:spacing w:before="90" w:line="264" w:lineRule="auto"/>
        <w:ind w:left="170" w:right="120"/>
        <w:jc w:val="both"/>
      </w:pPr>
      <w:r>
        <w:rPr>
          <w:b/>
          <w:i w:val="0"/>
          <w:iCs w:val="0"/>
          <w:sz w:val="20"/>
          <w:szCs w:val="20"/>
        </w:rPr>
        <w:t xml:space="preserve">Por qué no validación cruzada aleatoria.</w:t>
      </w:r>
      <w:r>
        <w:rPr>
          <w:i w:val="0"/>
          <w:iCs w:val="0"/>
          <w:sz w:val="20"/>
          <w:szCs w:val="20"/>
        </w:rPr>
        <w:t xml:space="preserve"> Mezclaría ventanas de un mismo vehículo y taparía el cambio en la composición del parque: la P375 baja de 5.856 a 2.009 mantenimientos por mes mientras la P703 sube de 437 a 5.625. La partición usa scoring_date y no la fecha de cierre de cada etiqueta, así que hay horizontes que cruzan los cortes sin purga ni embargo; el dashboard muestra cuántos son. Esta evaluación por ventanas tampoco prueba que el modelo generalice a clientes que nunca aparecieron en los datos.</w:t>
      </w:r>
    </w:p>
    <w:p w14:paraId="2040CD87" w14:textId="77777777" w:rsidR="00B63A85" w:rsidRDefault="00C0062E">
      <w:pPr>
        <w:pStyle w:val="BodyText"/>
        <w:spacing w:before="90" w:line="264" w:lineRule="auto"/>
        <w:ind w:left="170" w:right="120"/>
        <w:jc w:val="both"/>
      </w:pPr>
      <w:r>
        <w:rPr>
          <w:b/>
          <w:bCs/>
          <w:i w:val="0"/>
          <w:iCs w:val="0"/>
          <w:sz w:val="20"/>
          <w:szCs w:val="20"/>
        </w:rPr>
        <w:t xml:space="preserve">Baselines.</w:t>
      </w:r>
      <w:r>
        <w:rPr>
          <w:i w:val="0"/>
          <w:iCs w:val="0"/>
          <w:sz w:val="20"/>
          <w:szCs w:val="20"/>
        </w:rPr>
        <w:t xml:space="preserve"> Azar (equivale a la priorización uniforme de hoy), una heurística de reglas (antigüedad + no-shows) y una regresión logística con 24 features. El modelo principal es un LightGBM (gradient boosting) con categóricas nativas, early stopping y calibración isotónica.</w:t>
      </w:r>
    </w:p>
    <w:p w14:paraId="71197023" w14:textId="77777777" w:rsidR="00B63A85" w:rsidRDefault="00C0062E">
      <w:pPr>
        <w:pStyle w:val="Heading2"/>
        <w:keepNext/>
        <w:spacing w:before="280"/>
        <w:ind w:left="170" w:firstLine="0"/>
      </w:pPr>
      <w:r>
        <w:t>Anexo E. Resultados completos</w:t>
      </w:r>
    </w:p>
    <w:p w14:paraId="77EFD31E" w14:textId="77777777" w:rsidR="00B63A85" w:rsidRDefault="00C0062E">
      <w:pPr>
        <w:pStyle w:val="BodyText"/>
        <w:spacing w:before="90" w:line="264" w:lineRule="auto"/>
        <w:ind w:left="170" w:right="120"/>
        <w:jc w:val="both"/>
      </w:pPr>
      <w:r>
        <w:rPr>
          <w:b/>
          <w:bCs/>
          <w:i w:val="0"/>
          <w:iCs w:val="0"/>
          <w:sz w:val="20"/>
          <w:szCs w:val="20"/>
        </w:rPr>
        <w:t xml:space="preserve">Métricas de la primera etapa, fuera de tiempo</w:t>
      </w:r>
      <w:r>
        <w:rPr>
          <w:i w:val="0"/>
          <w:iCs w:val="0"/>
          <w:sz w:val="20"/>
          <w:szCs w:val="20"/>
        </w:rPr>
        <w:t xml:space="preserve"> (test: 19.709 ventanas, churn 42,6 %). Evalúan el ranking de riesgo, no la segunda etapa ni el efecto del contacto:</w:t>
      </w:r>
    </w:p>
    <w:p w14:paraId="0AEF1071" w14:textId="77777777" w:rsidR="00B63A85" w:rsidRDefault="00C0062E">
      <w:pPr>
        <w:pStyle w:val="BodyText"/>
        <w:keepNext/>
        <w:spacing w:before="90" w:line="264" w:lineRule="auto"/>
        <w:ind w:left="170" w:right="120"/>
        <w:jc w:val="both"/>
      </w:pPr>
      <w:r>
        <w:rPr>
          <w:b/>
          <w:i w:val="0"/>
          <w:iCs w:val="0"/>
          <w:sz w:val="20"/>
          <w:szCs w:val="20"/>
        </w:rPr>
        <w:t xml:space="preserve">Cómo leer las métricas.</w:t>
      </w:r>
      <w:r>
        <w:rPr>
          <w:i w:val="0"/>
          <w:iCs w:val="0"/>
          <w:sz w:val="20"/>
          <w:szCs w:val="20"/>
        </w:rPr>
        <w:t xml:space="preserve"> ROC-AUC mide qué tan bien el modelo ordena a quienes abandonan por encima de quienes no; 0,5 equivale a ordenar al azar. PR-AUC es acá la average precision (AP), que combina precisión y recall para la clase abandono. En las dos, más alto es mejor, siempre teniendo en cuenta la tasa de abandono de la muestra.</w:t>
      </w:r>
    </w:p>
    <w:p w14:paraId="10566CAF" w14:textId="77777777" w:rsidR="00B63A85" w:rsidRDefault="00C0062E">
      <w:pPr>
        <w:pStyle w:val="BodyText"/>
        <w:spacing w:before="90" w:line="264" w:lineRule="auto"/>
        <w:ind w:left="170" w:right="120"/>
        <w:jc w:val="both"/>
      </w:pPr>
      <w:r>
        <w:rPr>
          <w:i w:val="0"/>
          <w:iCs w:val="0"/>
          <w:sz w:val="20"/>
          <w:szCs w:val="20"/>
        </w:rPr>
        <w:t xml:space="preserve">Brier es el error cuadrático medio de las probabilidades, log loss castiga sobre todo los errores cometidos con mucha seguridad y ECE resume la distancia entre la probabilidad estimada y la frecuencia observada por intervalos. En estas tres, más bajo es mejor. n es la cantidad de ventanas evaluadas y base_rate, la proporción que abandonó.</w:t>
      </w:r>
    </w:p>
    <w:tbl>
      <w:tblPr>
        <w:tblW w:w="8596" w:type="dxa"/>
        <w:tblInd w:w="170" w:type="dxa"/>
        <w:tblLayout w:type="fixed"/>
        <w:tblCellMar>
          <w:left w:w="60" w:type="dxa"/>
          <w:right w:w="60" w:type="dxa"/>
        </w:tblCellMar>
        <w:tblLook w:val="04A0" w:firstRow="1" w:lastRow="0" w:firstColumn="1" w:lastColumn="0" w:noHBand="0" w:noVBand="1"/>
      </w:tblPr>
      <w:tblGrid>
        <w:gridCol w:w="4137"/>
        <w:gridCol w:w="1214"/>
        <w:gridCol w:w="1137"/>
        <w:gridCol w:w="1054"/>
        <w:gridCol w:w="1054"/>
      </w:tblGrid>
      <w:tr w:rsidR="00B63A85" w14:paraId="6005AB42" w14:textId="77777777">
        <w:trPr>
          <w:cantSplit/>
          <w:tblHeader/>
        </w:trPr>
        <w:tc>
          <w:tcPr>
            <w:tcW w:w="4137" w:type="dxa"/>
            <w:tcBorders>
              <w:top w:val="single" w:sz="4" w:space="0" w:color="7F7F7F"/>
              <w:left w:val="single" w:sz="4" w:space="0" w:color="7F7F7F"/>
              <w:bottom w:val="single" w:sz="4" w:space="0" w:color="7F7F7F"/>
              <w:right w:val="single" w:sz="4" w:space="0" w:color="7F7F7F"/>
            </w:tcBorders>
            <w:shd w:val="clear" w:color="auto" w:fill="EDEDED"/>
          </w:tcPr>
          <w:p w14:paraId="46830F06" w14:textId="77777777" w:rsidR="00B63A85" w:rsidRDefault="00C0062E">
            <w:pPr>
              <w:pStyle w:val="TableParagraph"/>
              <w:keepNext/>
              <w:spacing w:before="20" w:after="20" w:line="218" w:lineRule="auto"/>
              <w:ind w:left="40"/>
            </w:pPr>
            <w:r>
              <w:rPr>
                <w:b/>
                <w:bCs/>
                <w:sz w:val="17"/>
                <w:szCs w:val="17"/>
              </w:rPr>
              <w:t>Modelo</w:t>
            </w:r>
          </w:p>
        </w:tc>
        <w:tc>
          <w:tcPr>
            <w:tcW w:w="1214" w:type="dxa"/>
            <w:tcBorders>
              <w:top w:val="single" w:sz="4" w:space="0" w:color="7F7F7F"/>
              <w:left w:val="single" w:sz="4" w:space="0" w:color="7F7F7F"/>
              <w:bottom w:val="single" w:sz="4" w:space="0" w:color="7F7F7F"/>
              <w:right w:val="single" w:sz="4" w:space="0" w:color="7F7F7F"/>
            </w:tcBorders>
            <w:shd w:val="clear" w:color="auto" w:fill="EDEDED"/>
          </w:tcPr>
          <w:p w14:paraId="2CE42D07" w14:textId="77777777" w:rsidR="00B63A85" w:rsidRDefault="00C0062E">
            <w:pPr>
              <w:pStyle w:val="TableParagraph"/>
              <w:keepNext/>
              <w:spacing w:before="20" w:after="20" w:line="218" w:lineRule="auto"/>
              <w:ind w:left="40"/>
            </w:pPr>
            <w:r>
              <w:rPr>
                <w:b/>
                <w:bCs/>
                <w:sz w:val="17"/>
                <w:szCs w:val="17"/>
              </w:rPr>
              <w:t>ROC-AUC</w:t>
            </w:r>
          </w:p>
        </w:tc>
        <w:tc>
          <w:tcPr>
            <w:tcW w:w="1137" w:type="dxa"/>
            <w:tcBorders>
              <w:top w:val="single" w:sz="4" w:space="0" w:color="7F7F7F"/>
              <w:left w:val="single" w:sz="4" w:space="0" w:color="7F7F7F"/>
              <w:bottom w:val="single" w:sz="4" w:space="0" w:color="7F7F7F"/>
              <w:right w:val="single" w:sz="4" w:space="0" w:color="7F7F7F"/>
            </w:tcBorders>
            <w:shd w:val="clear" w:color="auto" w:fill="EDEDED"/>
          </w:tcPr>
          <w:p w14:paraId="48A022D6" w14:textId="77777777" w:rsidR="00B63A85" w:rsidRDefault="00C0062E">
            <w:pPr>
              <w:pStyle w:val="TableParagraph"/>
              <w:keepNext/>
              <w:spacing w:before="20" w:after="20" w:line="218" w:lineRule="auto"/>
              <w:ind w:left="40"/>
            </w:pPr>
            <w:r>
              <w:rPr>
                <w:b/>
                <w:bCs/>
                <w:sz w:val="17"/>
                <w:szCs w:val="17"/>
              </w:rPr>
              <w:t>PR-AUC</w:t>
            </w:r>
          </w:p>
        </w:tc>
        <w:tc>
          <w:tcPr>
            <w:tcW w:w="1054" w:type="dxa"/>
            <w:tcBorders>
              <w:top w:val="single" w:sz="4" w:space="0" w:color="7F7F7F"/>
              <w:left w:val="single" w:sz="4" w:space="0" w:color="7F7F7F"/>
              <w:bottom w:val="single" w:sz="4" w:space="0" w:color="7F7F7F"/>
              <w:right w:val="single" w:sz="4" w:space="0" w:color="7F7F7F"/>
            </w:tcBorders>
            <w:shd w:val="clear" w:color="auto" w:fill="EDEDED"/>
          </w:tcPr>
          <w:p w14:paraId="4265358C" w14:textId="77777777" w:rsidR="00B63A85" w:rsidRDefault="00C0062E">
            <w:pPr>
              <w:pStyle w:val="TableParagraph"/>
              <w:keepNext/>
              <w:spacing w:before="20" w:after="20" w:line="218" w:lineRule="auto"/>
              <w:ind w:left="40"/>
            </w:pPr>
            <w:r>
              <w:rPr>
                <w:b/>
                <w:bCs/>
                <w:sz w:val="17"/>
                <w:szCs w:val="17"/>
              </w:rPr>
              <w:t>Brier</w:t>
            </w:r>
          </w:p>
        </w:tc>
        <w:tc>
          <w:tcPr>
            <w:tcW w:w="1054" w:type="dxa"/>
            <w:tcBorders>
              <w:top w:val="single" w:sz="4" w:space="0" w:color="7F7F7F"/>
              <w:left w:val="single" w:sz="4" w:space="0" w:color="7F7F7F"/>
              <w:bottom w:val="single" w:sz="4" w:space="0" w:color="7F7F7F"/>
              <w:right w:val="single" w:sz="4" w:space="0" w:color="7F7F7F"/>
            </w:tcBorders>
            <w:shd w:val="clear" w:color="auto" w:fill="EDEDED"/>
          </w:tcPr>
          <w:p w14:paraId="3FC4127A" w14:textId="77777777" w:rsidR="00B63A85" w:rsidRDefault="00C0062E">
            <w:pPr>
              <w:pStyle w:val="TableParagraph"/>
              <w:keepNext/>
              <w:spacing w:before="20" w:after="20" w:line="218" w:lineRule="auto"/>
              <w:ind w:left="40"/>
            </w:pPr>
            <w:r>
              <w:rPr>
                <w:b/>
                <w:bCs/>
                <w:sz w:val="17"/>
                <w:szCs w:val="17"/>
              </w:rPr>
              <w:t>ECE</w:t>
            </w:r>
          </w:p>
        </w:tc>
      </w:tr>
      <w:tr w:rsidR="00B63A85" w14:paraId="0096268D" w14:textId="77777777">
        <w:trPr>
          <w:cantSplit/>
        </w:trPr>
        <w:tc>
          <w:tcPr>
            <w:tcW w:w="4137" w:type="dxa"/>
            <w:tcBorders>
              <w:top w:val="single" w:sz="4" w:space="0" w:color="7F7F7F"/>
              <w:left w:val="single" w:sz="4" w:space="0" w:color="7F7F7F"/>
              <w:bottom w:val="single" w:sz="4" w:space="0" w:color="7F7F7F"/>
              <w:right w:val="single" w:sz="4" w:space="0" w:color="7F7F7F"/>
            </w:tcBorders>
          </w:tcPr>
          <w:p w14:paraId="5487F41E" w14:textId="77777777" w:rsidR="00B63A85" w:rsidRDefault="00C0062E">
            <w:pPr>
              <w:pStyle w:val="TableParagraph"/>
              <w:spacing w:before="20" w:after="20" w:line="218" w:lineRule="auto"/>
              <w:ind w:left="40"/>
            </w:pPr>
            <w:r>
              <w:rPr>
                <w:sz w:val="17"/>
                <w:szCs w:val="17"/>
              </w:rPr>
              <w:t>Azar (prioridad uniforme, situación actual)</w:t>
            </w:r>
          </w:p>
        </w:tc>
        <w:tc>
          <w:tcPr>
            <w:tcW w:w="1214" w:type="dxa"/>
            <w:tcBorders>
              <w:top w:val="single" w:sz="4" w:space="0" w:color="7F7F7F"/>
              <w:left w:val="single" w:sz="4" w:space="0" w:color="7F7F7F"/>
              <w:bottom w:val="single" w:sz="4" w:space="0" w:color="7F7F7F"/>
              <w:right w:val="single" w:sz="4" w:space="0" w:color="7F7F7F"/>
            </w:tcBorders>
          </w:tcPr>
          <w:p w14:paraId="7EAD0760" w14:textId="77777777" w:rsidR="00B63A85" w:rsidRDefault="00C0062E">
            <w:pPr>
              <w:pStyle w:val="TableParagraph"/>
              <w:spacing w:before="20" w:after="20" w:line="218" w:lineRule="auto"/>
              <w:ind w:left="40"/>
            </w:pPr>
            <w:r>
              <w:rPr>
                <w:sz w:val="17"/>
                <w:szCs w:val="17"/>
              </w:rPr>
              <w:t>0,497</w:t>
            </w:r>
          </w:p>
        </w:tc>
        <w:tc>
          <w:tcPr>
            <w:tcW w:w="1137" w:type="dxa"/>
            <w:tcBorders>
              <w:top w:val="single" w:sz="4" w:space="0" w:color="7F7F7F"/>
              <w:left w:val="single" w:sz="4" w:space="0" w:color="7F7F7F"/>
              <w:bottom w:val="single" w:sz="4" w:space="0" w:color="7F7F7F"/>
              <w:right w:val="single" w:sz="4" w:space="0" w:color="7F7F7F"/>
            </w:tcBorders>
          </w:tcPr>
          <w:p w14:paraId="4F00DDF8" w14:textId="77777777" w:rsidR="00B63A85" w:rsidRDefault="00C0062E">
            <w:pPr>
              <w:pStyle w:val="TableParagraph"/>
              <w:spacing w:before="20" w:after="20" w:line="218" w:lineRule="auto"/>
              <w:ind w:left="40"/>
            </w:pPr>
            <w:r>
              <w:rPr>
                <w:sz w:val="17"/>
                <w:szCs w:val="17"/>
              </w:rPr>
              <w:t>0,422</w:t>
            </w:r>
          </w:p>
        </w:tc>
        <w:tc>
          <w:tcPr>
            <w:tcW w:w="1054" w:type="dxa"/>
            <w:tcBorders>
              <w:top w:val="single" w:sz="4" w:space="0" w:color="7F7F7F"/>
              <w:left w:val="single" w:sz="4" w:space="0" w:color="7F7F7F"/>
              <w:bottom w:val="single" w:sz="4" w:space="0" w:color="7F7F7F"/>
              <w:right w:val="single" w:sz="4" w:space="0" w:color="7F7F7F"/>
            </w:tcBorders>
          </w:tcPr>
          <w:p w14:paraId="6F5042BD" w14:textId="77777777" w:rsidR="00B63A85" w:rsidRDefault="00C0062E">
            <w:pPr>
              <w:pStyle w:val="TableParagraph"/>
              <w:spacing w:before="20" w:after="20" w:line="218" w:lineRule="auto"/>
              <w:ind w:left="40"/>
            </w:pPr>
            <w:r>
              <w:rPr>
                <w:sz w:val="17"/>
                <w:szCs w:val="17"/>
              </w:rPr>
              <w:t>0,335</w:t>
            </w:r>
          </w:p>
        </w:tc>
        <w:tc>
          <w:tcPr>
            <w:tcW w:w="1054" w:type="dxa"/>
            <w:tcBorders>
              <w:top w:val="single" w:sz="4" w:space="0" w:color="7F7F7F"/>
              <w:left w:val="single" w:sz="4" w:space="0" w:color="7F7F7F"/>
              <w:bottom w:val="single" w:sz="4" w:space="0" w:color="7F7F7F"/>
              <w:right w:val="single" w:sz="4" w:space="0" w:color="7F7F7F"/>
            </w:tcBorders>
          </w:tcPr>
          <w:p w14:paraId="751D5015" w14:textId="77777777" w:rsidR="00B63A85" w:rsidRDefault="00C0062E">
            <w:pPr>
              <w:pStyle w:val="TableParagraph"/>
              <w:spacing w:before="20" w:after="20" w:line="218" w:lineRule="auto"/>
              <w:ind w:left="40"/>
            </w:pPr>
            <w:r>
              <w:rPr>
                <w:sz w:val="17"/>
                <w:szCs w:val="17"/>
              </w:rPr>
              <w:t>0,255</w:t>
            </w:r>
          </w:p>
        </w:tc>
      </w:tr>
      <w:tr w:rsidR="00B63A85" w14:paraId="680224A1" w14:textId="77777777">
        <w:trPr>
          <w:cantSplit/>
        </w:trPr>
        <w:tc>
          <w:tcPr>
            <w:tcW w:w="4137" w:type="dxa"/>
            <w:tcBorders>
              <w:top w:val="single" w:sz="4" w:space="0" w:color="7F7F7F"/>
              <w:left w:val="single" w:sz="4" w:space="0" w:color="7F7F7F"/>
              <w:bottom w:val="single" w:sz="4" w:space="0" w:color="7F7F7F"/>
              <w:right w:val="single" w:sz="4" w:space="0" w:color="7F7F7F"/>
            </w:tcBorders>
          </w:tcPr>
          <w:p w14:paraId="1B519883" w14:textId="77777777" w:rsidR="00B63A85" w:rsidRDefault="00C0062E">
            <w:pPr>
              <w:pStyle w:val="TableParagraph"/>
              <w:spacing w:before="20" w:after="20" w:line="218" w:lineRule="auto"/>
              <w:ind w:left="40"/>
            </w:pPr>
            <w:r>
              <w:rPr>
                <w:sz w:val="17"/>
                <w:szCs w:val="17"/>
              </w:rPr>
              <w:t>Heurística de reglas</w:t>
            </w:r>
          </w:p>
        </w:tc>
        <w:tc>
          <w:tcPr>
            <w:tcW w:w="1214" w:type="dxa"/>
            <w:tcBorders>
              <w:top w:val="single" w:sz="4" w:space="0" w:color="7F7F7F"/>
              <w:left w:val="single" w:sz="4" w:space="0" w:color="7F7F7F"/>
              <w:bottom w:val="single" w:sz="4" w:space="0" w:color="7F7F7F"/>
              <w:right w:val="single" w:sz="4" w:space="0" w:color="7F7F7F"/>
            </w:tcBorders>
          </w:tcPr>
          <w:p w14:paraId="2454904A" w14:textId="77777777" w:rsidR="00B63A85" w:rsidRDefault="00C0062E">
            <w:pPr>
              <w:pStyle w:val="TableParagraph"/>
              <w:spacing w:before="20" w:after="20" w:line="218" w:lineRule="auto"/>
              <w:ind w:left="40"/>
            </w:pPr>
            <w:r>
              <w:rPr>
                <w:sz w:val="17"/>
                <w:szCs w:val="17"/>
              </w:rPr>
              <w:t>0,609</w:t>
            </w:r>
          </w:p>
        </w:tc>
        <w:tc>
          <w:tcPr>
            <w:tcW w:w="1137" w:type="dxa"/>
            <w:tcBorders>
              <w:top w:val="single" w:sz="4" w:space="0" w:color="7F7F7F"/>
              <w:left w:val="single" w:sz="4" w:space="0" w:color="7F7F7F"/>
              <w:bottom w:val="single" w:sz="4" w:space="0" w:color="7F7F7F"/>
              <w:right w:val="single" w:sz="4" w:space="0" w:color="7F7F7F"/>
            </w:tcBorders>
          </w:tcPr>
          <w:p w14:paraId="5B303CC9" w14:textId="77777777" w:rsidR="00B63A85" w:rsidRDefault="00C0062E">
            <w:pPr>
              <w:pStyle w:val="TableParagraph"/>
              <w:spacing w:before="20" w:after="20" w:line="218" w:lineRule="auto"/>
              <w:ind w:left="40"/>
            </w:pPr>
            <w:r>
              <w:rPr>
                <w:sz w:val="17"/>
                <w:szCs w:val="17"/>
              </w:rPr>
              <w:t>0,518</w:t>
            </w:r>
          </w:p>
        </w:tc>
        <w:tc>
          <w:tcPr>
            <w:tcW w:w="1054" w:type="dxa"/>
            <w:tcBorders>
              <w:top w:val="single" w:sz="4" w:space="0" w:color="7F7F7F"/>
              <w:left w:val="single" w:sz="4" w:space="0" w:color="7F7F7F"/>
              <w:bottom w:val="single" w:sz="4" w:space="0" w:color="7F7F7F"/>
              <w:right w:val="single" w:sz="4" w:space="0" w:color="7F7F7F"/>
            </w:tcBorders>
          </w:tcPr>
          <w:p w14:paraId="6498E1AB" w14:textId="77777777" w:rsidR="00B63A85" w:rsidRDefault="00C0062E">
            <w:pPr>
              <w:pStyle w:val="TableParagraph"/>
              <w:spacing w:before="20" w:after="20" w:line="218" w:lineRule="auto"/>
              <w:ind w:left="40"/>
            </w:pPr>
            <w:r>
              <w:rPr>
                <w:sz w:val="17"/>
                <w:szCs w:val="17"/>
              </w:rPr>
              <w:t>—</w:t>
            </w:r>
          </w:p>
        </w:tc>
        <w:tc>
          <w:tcPr>
            <w:tcW w:w="1054" w:type="dxa"/>
            <w:tcBorders>
              <w:top w:val="single" w:sz="4" w:space="0" w:color="7F7F7F"/>
              <w:left w:val="single" w:sz="4" w:space="0" w:color="7F7F7F"/>
              <w:bottom w:val="single" w:sz="4" w:space="0" w:color="7F7F7F"/>
              <w:right w:val="single" w:sz="4" w:space="0" w:color="7F7F7F"/>
            </w:tcBorders>
          </w:tcPr>
          <w:p w14:paraId="58163BD4" w14:textId="77777777" w:rsidR="00B63A85" w:rsidRDefault="00C0062E">
            <w:pPr>
              <w:pStyle w:val="TableParagraph"/>
              <w:spacing w:before="20" w:after="20" w:line="218" w:lineRule="auto"/>
              <w:ind w:left="40"/>
            </w:pPr>
            <w:r>
              <w:rPr>
                <w:sz w:val="17"/>
                <w:szCs w:val="17"/>
              </w:rPr>
              <w:t>—</w:t>
            </w:r>
          </w:p>
        </w:tc>
      </w:tr>
      <w:tr w:rsidR="00B63A85" w14:paraId="5EB381BC" w14:textId="77777777">
        <w:trPr>
          <w:cantSplit/>
        </w:trPr>
        <w:tc>
          <w:tcPr>
            <w:tcW w:w="4137" w:type="dxa"/>
            <w:tcBorders>
              <w:top w:val="single" w:sz="4" w:space="0" w:color="7F7F7F"/>
              <w:left w:val="single" w:sz="4" w:space="0" w:color="7F7F7F"/>
              <w:bottom w:val="single" w:sz="4" w:space="0" w:color="7F7F7F"/>
              <w:right w:val="single" w:sz="4" w:space="0" w:color="7F7F7F"/>
            </w:tcBorders>
          </w:tcPr>
          <w:p w14:paraId="354434EB" w14:textId="77777777" w:rsidR="00B63A85" w:rsidRDefault="00C0062E">
            <w:pPr>
              <w:pStyle w:val="TableParagraph"/>
              <w:spacing w:before="20" w:after="20" w:line="218" w:lineRule="auto"/>
              <w:ind w:left="40"/>
            </w:pPr>
            <w:r>
              <w:rPr>
                <w:sz w:val="17"/>
                <w:szCs w:val="17"/>
              </w:rPr>
              <w:t>Regresión logística (calibrada)</w:t>
            </w:r>
          </w:p>
        </w:tc>
        <w:tc>
          <w:tcPr>
            <w:tcW w:w="1214" w:type="dxa"/>
            <w:tcBorders>
              <w:top w:val="single" w:sz="4" w:space="0" w:color="7F7F7F"/>
              <w:left w:val="single" w:sz="4" w:space="0" w:color="7F7F7F"/>
              <w:bottom w:val="single" w:sz="4" w:space="0" w:color="7F7F7F"/>
              <w:right w:val="single" w:sz="4" w:space="0" w:color="7F7F7F"/>
            </w:tcBorders>
          </w:tcPr>
          <w:p w14:paraId="14AEDB96" w14:textId="77777777" w:rsidR="00B63A85" w:rsidRDefault="00C0062E">
            <w:pPr>
              <w:pStyle w:val="TableParagraph"/>
              <w:spacing w:before="20" w:after="20" w:line="218" w:lineRule="auto"/>
              <w:ind w:left="40"/>
            </w:pPr>
            <w:r>
              <w:rPr>
                <w:sz w:val="17"/>
                <w:szCs w:val="17"/>
              </w:rPr>
              <w:t>0,674</w:t>
            </w:r>
          </w:p>
        </w:tc>
        <w:tc>
          <w:tcPr>
            <w:tcW w:w="1137" w:type="dxa"/>
            <w:tcBorders>
              <w:top w:val="single" w:sz="4" w:space="0" w:color="7F7F7F"/>
              <w:left w:val="single" w:sz="4" w:space="0" w:color="7F7F7F"/>
              <w:bottom w:val="single" w:sz="4" w:space="0" w:color="7F7F7F"/>
              <w:right w:val="single" w:sz="4" w:space="0" w:color="7F7F7F"/>
            </w:tcBorders>
          </w:tcPr>
          <w:p w14:paraId="132AD686" w14:textId="77777777" w:rsidR="00B63A85" w:rsidRDefault="00C0062E">
            <w:pPr>
              <w:pStyle w:val="TableParagraph"/>
              <w:spacing w:before="20" w:after="20" w:line="218" w:lineRule="auto"/>
              <w:ind w:left="40"/>
            </w:pPr>
            <w:r>
              <w:rPr>
                <w:sz w:val="17"/>
                <w:szCs w:val="17"/>
              </w:rPr>
              <w:t>0,596</w:t>
            </w:r>
          </w:p>
        </w:tc>
        <w:tc>
          <w:tcPr>
            <w:tcW w:w="1054" w:type="dxa"/>
            <w:tcBorders>
              <w:top w:val="single" w:sz="4" w:space="0" w:color="7F7F7F"/>
              <w:left w:val="single" w:sz="4" w:space="0" w:color="7F7F7F"/>
              <w:bottom w:val="single" w:sz="4" w:space="0" w:color="7F7F7F"/>
              <w:right w:val="single" w:sz="4" w:space="0" w:color="7F7F7F"/>
            </w:tcBorders>
          </w:tcPr>
          <w:p w14:paraId="6D747BAA" w14:textId="77777777" w:rsidR="00B63A85" w:rsidRDefault="00C0062E">
            <w:pPr>
              <w:pStyle w:val="TableParagraph"/>
              <w:spacing w:before="20" w:after="20" w:line="218" w:lineRule="auto"/>
              <w:ind w:left="40"/>
            </w:pPr>
            <w:r>
              <w:rPr>
                <w:sz w:val="17"/>
                <w:szCs w:val="17"/>
              </w:rPr>
              <w:t>0,222</w:t>
            </w:r>
          </w:p>
        </w:tc>
        <w:tc>
          <w:tcPr>
            <w:tcW w:w="1054" w:type="dxa"/>
            <w:tcBorders>
              <w:top w:val="single" w:sz="4" w:space="0" w:color="7F7F7F"/>
              <w:left w:val="single" w:sz="4" w:space="0" w:color="7F7F7F"/>
              <w:bottom w:val="single" w:sz="4" w:space="0" w:color="7F7F7F"/>
              <w:right w:val="single" w:sz="4" w:space="0" w:color="7F7F7F"/>
            </w:tcBorders>
          </w:tcPr>
          <w:p w14:paraId="28B9104F" w14:textId="77777777" w:rsidR="00B63A85" w:rsidRDefault="00C0062E">
            <w:pPr>
              <w:pStyle w:val="TableParagraph"/>
              <w:spacing w:before="20" w:after="20" w:line="218" w:lineRule="auto"/>
              <w:ind w:left="40"/>
            </w:pPr>
            <w:r>
              <w:rPr>
                <w:sz w:val="17"/>
                <w:szCs w:val="17"/>
              </w:rPr>
              <w:t>0,018</w:t>
            </w:r>
          </w:p>
        </w:tc>
      </w:tr>
      <w:tr w:rsidR="00B63A85" w14:paraId="34C8B832" w14:textId="77777777">
        <w:trPr>
          <w:cantSplit/>
        </w:trPr>
        <w:tc>
          <w:tcPr>
            <w:tcW w:w="4137" w:type="dxa"/>
            <w:tcBorders>
              <w:top w:val="single" w:sz="4" w:space="0" w:color="7F7F7F"/>
              <w:left w:val="single" w:sz="4" w:space="0" w:color="7F7F7F"/>
              <w:bottom w:val="single" w:sz="4" w:space="0" w:color="7F7F7F"/>
              <w:right w:val="single" w:sz="4" w:space="0" w:color="7F7F7F"/>
            </w:tcBorders>
          </w:tcPr>
          <w:p w14:paraId="2784FDBD" w14:textId="77777777" w:rsidR="00B63A85" w:rsidRDefault="00C0062E">
            <w:pPr>
              <w:pStyle w:val="TableParagraph"/>
              <w:spacing w:before="20" w:after="20" w:line="218" w:lineRule="auto"/>
              <w:ind w:left="40"/>
            </w:pPr>
            <w:r>
              <w:rPr>
                <w:b/>
                <w:bCs/>
                <w:sz w:val="17"/>
                <w:szCs w:val="17"/>
              </w:rPr>
              <w:t>LightGBM calibrado</w:t>
            </w:r>
          </w:p>
        </w:tc>
        <w:tc>
          <w:tcPr>
            <w:tcW w:w="1214" w:type="dxa"/>
            <w:tcBorders>
              <w:top w:val="single" w:sz="4" w:space="0" w:color="7F7F7F"/>
              <w:left w:val="single" w:sz="4" w:space="0" w:color="7F7F7F"/>
              <w:bottom w:val="single" w:sz="4" w:space="0" w:color="7F7F7F"/>
              <w:right w:val="single" w:sz="4" w:space="0" w:color="7F7F7F"/>
            </w:tcBorders>
          </w:tcPr>
          <w:p w14:paraId="3406F97A" w14:textId="77777777" w:rsidR="00B63A85" w:rsidRDefault="00C0062E">
            <w:pPr>
              <w:pStyle w:val="TableParagraph"/>
              <w:spacing w:before="20" w:after="20" w:line="218" w:lineRule="auto"/>
              <w:ind w:left="40"/>
            </w:pPr>
            <w:r>
              <w:rPr>
                <w:b/>
                <w:bCs/>
                <w:sz w:val="17"/>
                <w:szCs w:val="17"/>
              </w:rPr>
              <w:t>0,740</w:t>
            </w:r>
          </w:p>
        </w:tc>
        <w:tc>
          <w:tcPr>
            <w:tcW w:w="1137" w:type="dxa"/>
            <w:tcBorders>
              <w:top w:val="single" w:sz="4" w:space="0" w:color="7F7F7F"/>
              <w:left w:val="single" w:sz="4" w:space="0" w:color="7F7F7F"/>
              <w:bottom w:val="single" w:sz="4" w:space="0" w:color="7F7F7F"/>
              <w:right w:val="single" w:sz="4" w:space="0" w:color="7F7F7F"/>
            </w:tcBorders>
          </w:tcPr>
          <w:p w14:paraId="0A9D918B" w14:textId="77777777" w:rsidR="00B63A85" w:rsidRDefault="00C0062E">
            <w:pPr>
              <w:pStyle w:val="TableParagraph"/>
              <w:spacing w:before="20" w:after="20" w:line="218" w:lineRule="auto"/>
              <w:ind w:left="40"/>
            </w:pPr>
            <w:r>
              <w:rPr>
                <w:b/>
                <w:bCs/>
                <w:sz w:val="17"/>
                <w:szCs w:val="17"/>
              </w:rPr>
              <w:t>0,704</w:t>
            </w:r>
          </w:p>
        </w:tc>
        <w:tc>
          <w:tcPr>
            <w:tcW w:w="1054" w:type="dxa"/>
            <w:tcBorders>
              <w:top w:val="single" w:sz="4" w:space="0" w:color="7F7F7F"/>
              <w:left w:val="single" w:sz="4" w:space="0" w:color="7F7F7F"/>
              <w:bottom w:val="single" w:sz="4" w:space="0" w:color="7F7F7F"/>
              <w:right w:val="single" w:sz="4" w:space="0" w:color="7F7F7F"/>
            </w:tcBorders>
          </w:tcPr>
          <w:p w14:paraId="59E53B44" w14:textId="77777777" w:rsidR="00B63A85" w:rsidRDefault="00C0062E">
            <w:pPr>
              <w:pStyle w:val="TableParagraph"/>
              <w:spacing w:before="20" w:after="20" w:line="218" w:lineRule="auto"/>
              <w:ind w:left="40"/>
            </w:pPr>
            <w:r>
              <w:rPr>
                <w:b/>
                <w:bCs/>
                <w:sz w:val="17"/>
                <w:szCs w:val="17"/>
              </w:rPr>
              <w:t>0,199</w:t>
            </w:r>
          </w:p>
        </w:tc>
        <w:tc>
          <w:tcPr>
            <w:tcW w:w="1054" w:type="dxa"/>
            <w:tcBorders>
              <w:top w:val="single" w:sz="4" w:space="0" w:color="7F7F7F"/>
              <w:left w:val="single" w:sz="4" w:space="0" w:color="7F7F7F"/>
              <w:bottom w:val="single" w:sz="4" w:space="0" w:color="7F7F7F"/>
              <w:right w:val="single" w:sz="4" w:space="0" w:color="7F7F7F"/>
            </w:tcBorders>
          </w:tcPr>
          <w:p w14:paraId="4A1F7B44" w14:textId="77777777" w:rsidR="00B63A85" w:rsidRDefault="00C0062E">
            <w:pPr>
              <w:pStyle w:val="TableParagraph"/>
              <w:spacing w:before="20" w:after="20" w:line="218" w:lineRule="auto"/>
              <w:ind w:left="40"/>
            </w:pPr>
            <w:r>
              <w:rPr>
                <w:b/>
                <w:bCs/>
                <w:sz w:val="17"/>
                <w:szCs w:val="17"/>
              </w:rPr>
              <w:t>0,010</w:t>
            </w:r>
          </w:p>
        </w:tc>
      </w:tr>
    </w:tbl>
    <w:p w14:paraId="134F1D80" w14:textId="77777777" w:rsidR="00B63A85" w:rsidRDefault="00B63A85">
      <w:pPr>
        <w:pStyle w:val="BodyText"/>
        <w:spacing w:before="20" w:line="264" w:lineRule="auto"/>
        <w:ind w:left="170" w:right="120"/>
        <w:jc w:val="both"/>
      </w:pPr>
    </w:p>
    <w:p w14:paraId="5D2B67FA" w14:textId="77777777" w:rsidR="00B63A85" w:rsidRDefault="00C0062E">
      <w:pPr>
        <w:pStyle w:val="BodyText"/>
        <w:spacing w:before="90" w:line="264" w:lineRule="auto"/>
        <w:ind w:left="170" w:right="120"/>
        <w:jc w:val="both"/>
      </w:pPr>
      <w:r>
        <w:rPr>
          <w:b/>
          <w:bCs/>
          <w:i w:val="0"/>
          <w:iCs w:val="0"/>
          <w:sz w:val="20"/>
          <w:szCs w:val="20"/>
        </w:rPr>
        <w:t xml:space="preserve">Recall a capacidad de contacto.</w:t>
      </w:r>
      <w:r>
        <w:rPr>
          <w:i w:val="0"/>
          <w:iCs w:val="0"/>
          <w:sz w:val="20"/>
          <w:szCs w:val="20"/>
        </w:rPr>
        <w:t xml:space="preserve"> Si los concesionarios pueden contactar al X % de la población en ventana, ¿a qué parte de los que se van llegan?</w:t>
      </w:r>
    </w:p>
    <w:tbl>
      <w:tblPr>
        <w:tblW w:w="8598" w:type="dxa"/>
        <w:tblInd w:w="170" w:type="dxa"/>
        <w:tblLayout w:type="fixed"/>
        <w:tblCellMar>
          <w:left w:w="60" w:type="dxa"/>
          <w:right w:w="60" w:type="dxa"/>
        </w:tblCellMar>
        <w:tblLook w:val="04A0" w:firstRow="1" w:lastRow="0" w:firstColumn="1" w:lastColumn="0" w:noHBand="0" w:noVBand="1"/>
      </w:tblPr>
      <w:tblGrid>
        <w:gridCol w:w="1250"/>
        <w:gridCol w:w="1394"/>
        <w:gridCol w:w="2207"/>
        <w:gridCol w:w="1029"/>
        <w:gridCol w:w="1248"/>
        <w:gridCol w:w="1470"/>
      </w:tblGrid>
      <w:tr w:rsidR="00B63A85" w14:paraId="6F83F14B" w14:textId="77777777">
        <w:trPr>
          <w:cantSplit/>
          <w:tblHeader/>
        </w:trPr>
        <w:tc>
          <w:tcPr>
            <w:tcW w:w="1249" w:type="dxa"/>
            <w:tcBorders>
              <w:top w:val="single" w:sz="4" w:space="0" w:color="7F7F7F"/>
              <w:left w:val="single" w:sz="4" w:space="0" w:color="7F7F7F"/>
              <w:bottom w:val="single" w:sz="4" w:space="0" w:color="7F7F7F"/>
              <w:right w:val="single" w:sz="4" w:space="0" w:color="7F7F7F"/>
            </w:tcBorders>
            <w:shd w:val="clear" w:color="auto" w:fill="EDEDED"/>
          </w:tcPr>
          <w:p w14:paraId="6540CFAA" w14:textId="77777777" w:rsidR="00B63A85" w:rsidRDefault="00C0062E">
            <w:pPr>
              <w:pStyle w:val="TableParagraph"/>
              <w:keepNext/>
              <w:spacing w:before="20" w:after="20" w:line="218" w:lineRule="auto"/>
              <w:ind w:left="40"/>
            </w:pPr>
            <w:r>
              <w:rPr>
                <w:b/>
                <w:bCs/>
                <w:sz w:val="17"/>
                <w:szCs w:val="17"/>
              </w:rPr>
              <w:t>Capacidad</w:t>
            </w:r>
          </w:p>
        </w:tc>
        <w:tc>
          <w:tcPr>
            <w:tcW w:w="1394" w:type="dxa"/>
            <w:tcBorders>
              <w:top w:val="single" w:sz="4" w:space="0" w:color="7F7F7F"/>
              <w:left w:val="single" w:sz="4" w:space="0" w:color="7F7F7F"/>
              <w:bottom w:val="single" w:sz="4" w:space="0" w:color="7F7F7F"/>
              <w:right w:val="single" w:sz="4" w:space="0" w:color="7F7F7F"/>
            </w:tcBorders>
            <w:shd w:val="clear" w:color="auto" w:fill="EDEDED"/>
          </w:tcPr>
          <w:p w14:paraId="026B918A" w14:textId="77777777" w:rsidR="00B63A85" w:rsidRDefault="00C0062E">
            <w:pPr>
              <w:pStyle w:val="TableParagraph"/>
              <w:keepNext/>
              <w:spacing w:before="20" w:after="20" w:line="218" w:lineRule="auto"/>
              <w:ind w:left="40"/>
            </w:pPr>
            <w:r>
              <w:rPr>
                <w:b/>
                <w:bCs/>
                <w:sz w:val="17"/>
                <w:szCs w:val="17"/>
              </w:rPr>
              <w:t>Contactados</w:t>
            </w:r>
          </w:p>
        </w:tc>
        <w:tc>
          <w:tcPr>
            <w:tcW w:w="2207" w:type="dxa"/>
            <w:tcBorders>
              <w:top w:val="single" w:sz="4" w:space="0" w:color="7F7F7F"/>
              <w:left w:val="single" w:sz="4" w:space="0" w:color="7F7F7F"/>
              <w:bottom w:val="single" w:sz="4" w:space="0" w:color="7F7F7F"/>
              <w:right w:val="single" w:sz="4" w:space="0" w:color="7F7F7F"/>
            </w:tcBorders>
            <w:shd w:val="clear" w:color="auto" w:fill="EDEDED"/>
          </w:tcPr>
          <w:p w14:paraId="73BB1A5F" w14:textId="77777777" w:rsidR="00B63A85" w:rsidRDefault="00C0062E">
            <w:pPr>
              <w:pStyle w:val="TableParagraph"/>
              <w:keepNext/>
              <w:spacing w:before="20" w:after="20" w:line="218" w:lineRule="auto"/>
              <w:ind w:left="40"/>
            </w:pPr>
            <w:r>
              <w:rPr>
                <w:b/>
                <w:bCs/>
                <w:sz w:val="17"/>
                <w:szCs w:val="17"/>
              </w:rPr>
              <w:t>Alcanzados que se iban</w:t>
            </w:r>
          </w:p>
        </w:tc>
        <w:tc>
          <w:tcPr>
            <w:tcW w:w="1029" w:type="dxa"/>
            <w:tcBorders>
              <w:top w:val="single" w:sz="4" w:space="0" w:color="7F7F7F"/>
              <w:left w:val="single" w:sz="4" w:space="0" w:color="7F7F7F"/>
              <w:bottom w:val="single" w:sz="4" w:space="0" w:color="7F7F7F"/>
              <w:right w:val="single" w:sz="4" w:space="0" w:color="7F7F7F"/>
            </w:tcBorders>
            <w:shd w:val="clear" w:color="auto" w:fill="EDEDED"/>
          </w:tcPr>
          <w:p w14:paraId="6BEF940A" w14:textId="77777777" w:rsidR="00B63A85" w:rsidRDefault="00C0062E">
            <w:pPr>
              <w:pStyle w:val="TableParagraph"/>
              <w:keepNext/>
              <w:spacing w:before="20" w:after="20" w:line="218" w:lineRule="auto"/>
              <w:ind w:left="40"/>
            </w:pPr>
            <w:r>
              <w:rPr>
                <w:b/>
                <w:bCs/>
                <w:sz w:val="17"/>
                <w:szCs w:val="17"/>
              </w:rPr>
              <w:t>Recall</w:t>
            </w:r>
          </w:p>
        </w:tc>
        <w:tc>
          <w:tcPr>
            <w:tcW w:w="1248" w:type="dxa"/>
            <w:tcBorders>
              <w:top w:val="single" w:sz="4" w:space="0" w:color="7F7F7F"/>
              <w:left w:val="single" w:sz="4" w:space="0" w:color="7F7F7F"/>
              <w:bottom w:val="single" w:sz="4" w:space="0" w:color="7F7F7F"/>
              <w:right w:val="single" w:sz="4" w:space="0" w:color="7F7F7F"/>
            </w:tcBorders>
            <w:shd w:val="clear" w:color="auto" w:fill="EDEDED"/>
          </w:tcPr>
          <w:p w14:paraId="610F3932" w14:textId="77777777" w:rsidR="00B63A85" w:rsidRDefault="00C0062E">
            <w:pPr>
              <w:pStyle w:val="TableParagraph"/>
              <w:keepNext/>
              <w:spacing w:before="20" w:after="20" w:line="218" w:lineRule="auto"/>
              <w:ind w:left="40"/>
            </w:pPr>
            <w:r>
              <w:rPr>
                <w:b/>
                <w:bCs/>
                <w:sz w:val="17"/>
                <w:szCs w:val="17"/>
              </w:rPr>
              <w:t>Precisión</w:t>
            </w:r>
          </w:p>
        </w:tc>
        <w:tc>
          <w:tcPr>
            <w:tcW w:w="1470" w:type="dxa"/>
            <w:tcBorders>
              <w:top w:val="single" w:sz="4" w:space="0" w:color="7F7F7F"/>
              <w:left w:val="single" w:sz="4" w:space="0" w:color="7F7F7F"/>
              <w:bottom w:val="single" w:sz="4" w:space="0" w:color="7F7F7F"/>
              <w:right w:val="single" w:sz="4" w:space="0" w:color="7F7F7F"/>
            </w:tcBorders>
            <w:shd w:val="clear" w:color="auto" w:fill="EDEDED"/>
          </w:tcPr>
          <w:p w14:paraId="20120CDB" w14:textId="77777777" w:rsidR="00B63A85" w:rsidRDefault="00C0062E">
            <w:pPr>
              <w:pStyle w:val="TableParagraph"/>
              <w:keepNext/>
              <w:spacing w:before="20" w:after="20" w:line="218" w:lineRule="auto"/>
              <w:ind w:left="40"/>
            </w:pPr>
            <w:r>
              <w:rPr>
                <w:b/>
                <w:bCs/>
                <w:sz w:val="17"/>
                <w:szCs w:val="17"/>
              </w:rPr>
              <w:t>Lift vs azar</w:t>
            </w:r>
          </w:p>
        </w:tc>
      </w:tr>
      <w:tr w:rsidR="00B63A85" w14:paraId="1063415E" w14:textId="77777777">
        <w:trPr>
          <w:cantSplit/>
        </w:trPr>
        <w:tc>
          <w:tcPr>
            <w:tcW w:w="1249" w:type="dxa"/>
            <w:tcBorders>
              <w:top w:val="single" w:sz="4" w:space="0" w:color="7F7F7F"/>
              <w:left w:val="single" w:sz="4" w:space="0" w:color="7F7F7F"/>
              <w:bottom w:val="single" w:sz="4" w:space="0" w:color="7F7F7F"/>
              <w:right w:val="single" w:sz="4" w:space="0" w:color="7F7F7F"/>
            </w:tcBorders>
          </w:tcPr>
          <w:p w14:paraId="33CCABE1" w14:textId="77777777" w:rsidR="00B63A85" w:rsidRDefault="00C0062E">
            <w:pPr>
              <w:pStyle w:val="TableParagraph"/>
              <w:spacing w:before="20" w:after="20" w:line="218" w:lineRule="auto"/>
              <w:ind w:left="40"/>
            </w:pPr>
            <w:r>
              <w:rPr>
                <w:sz w:val="17"/>
                <w:szCs w:val="17"/>
              </w:rPr>
              <w:t>5 %</w:t>
            </w:r>
          </w:p>
        </w:tc>
        <w:tc>
          <w:tcPr>
            <w:tcW w:w="1394" w:type="dxa"/>
            <w:tcBorders>
              <w:top w:val="single" w:sz="4" w:space="0" w:color="7F7F7F"/>
              <w:left w:val="single" w:sz="4" w:space="0" w:color="7F7F7F"/>
              <w:bottom w:val="single" w:sz="4" w:space="0" w:color="7F7F7F"/>
              <w:right w:val="single" w:sz="4" w:space="0" w:color="7F7F7F"/>
            </w:tcBorders>
          </w:tcPr>
          <w:p w14:paraId="4DEAA44A" w14:textId="77777777" w:rsidR="00B63A85" w:rsidRDefault="00C0062E">
            <w:pPr>
              <w:pStyle w:val="TableParagraph"/>
              <w:spacing w:before="20" w:after="20" w:line="218" w:lineRule="auto"/>
              <w:ind w:left="40"/>
            </w:pPr>
            <w:r>
              <w:rPr>
                <w:sz w:val="17"/>
                <w:szCs w:val="17"/>
              </w:rPr>
              <w:t>985</w:t>
            </w:r>
          </w:p>
        </w:tc>
        <w:tc>
          <w:tcPr>
            <w:tcW w:w="2207" w:type="dxa"/>
            <w:tcBorders>
              <w:top w:val="single" w:sz="4" w:space="0" w:color="7F7F7F"/>
              <w:left w:val="single" w:sz="4" w:space="0" w:color="7F7F7F"/>
              <w:bottom w:val="single" w:sz="4" w:space="0" w:color="7F7F7F"/>
              <w:right w:val="single" w:sz="4" w:space="0" w:color="7F7F7F"/>
            </w:tcBorders>
          </w:tcPr>
          <w:p w14:paraId="3DAD84A6" w14:textId="77777777" w:rsidR="00B63A85" w:rsidRDefault="00C0062E">
            <w:pPr>
              <w:pStyle w:val="TableParagraph"/>
              <w:spacing w:before="20" w:after="20" w:line="218" w:lineRule="auto"/>
              <w:ind w:left="40"/>
            </w:pPr>
            <w:r>
              <w:rPr>
                <w:sz w:val="17"/>
                <w:szCs w:val="17"/>
              </w:rPr>
              <w:t>969</w:t>
            </w:r>
          </w:p>
        </w:tc>
        <w:tc>
          <w:tcPr>
            <w:tcW w:w="1029" w:type="dxa"/>
            <w:tcBorders>
              <w:top w:val="single" w:sz="4" w:space="0" w:color="7F7F7F"/>
              <w:left w:val="single" w:sz="4" w:space="0" w:color="7F7F7F"/>
              <w:bottom w:val="single" w:sz="4" w:space="0" w:color="7F7F7F"/>
              <w:right w:val="single" w:sz="4" w:space="0" w:color="7F7F7F"/>
            </w:tcBorders>
          </w:tcPr>
          <w:p w14:paraId="44C69F02" w14:textId="77777777" w:rsidR="00B63A85" w:rsidRDefault="00C0062E">
            <w:pPr>
              <w:pStyle w:val="TableParagraph"/>
              <w:spacing w:before="20" w:after="20" w:line="218" w:lineRule="auto"/>
              <w:ind w:left="40"/>
            </w:pPr>
            <w:r>
              <w:rPr>
                <w:sz w:val="17"/>
                <w:szCs w:val="17"/>
              </w:rPr>
              <w:t>11,5 %</w:t>
            </w:r>
          </w:p>
        </w:tc>
        <w:tc>
          <w:tcPr>
            <w:tcW w:w="1248" w:type="dxa"/>
            <w:tcBorders>
              <w:top w:val="single" w:sz="4" w:space="0" w:color="7F7F7F"/>
              <w:left w:val="single" w:sz="4" w:space="0" w:color="7F7F7F"/>
              <w:bottom w:val="single" w:sz="4" w:space="0" w:color="7F7F7F"/>
              <w:right w:val="single" w:sz="4" w:space="0" w:color="7F7F7F"/>
            </w:tcBorders>
          </w:tcPr>
          <w:p w14:paraId="12CEED3D" w14:textId="77777777" w:rsidR="00B63A85" w:rsidRDefault="00C0062E">
            <w:pPr>
              <w:pStyle w:val="TableParagraph"/>
              <w:spacing w:before="20" w:after="20" w:line="218" w:lineRule="auto"/>
              <w:ind w:left="40"/>
            </w:pPr>
            <w:r>
              <w:rPr>
                <w:sz w:val="17"/>
                <w:szCs w:val="17"/>
              </w:rPr>
              <w:t>98 %</w:t>
            </w:r>
          </w:p>
        </w:tc>
        <w:tc>
          <w:tcPr>
            <w:tcW w:w="1470" w:type="dxa"/>
            <w:tcBorders>
              <w:top w:val="single" w:sz="4" w:space="0" w:color="7F7F7F"/>
              <w:left w:val="single" w:sz="4" w:space="0" w:color="7F7F7F"/>
              <w:bottom w:val="single" w:sz="4" w:space="0" w:color="7F7F7F"/>
              <w:right w:val="single" w:sz="4" w:space="0" w:color="7F7F7F"/>
            </w:tcBorders>
          </w:tcPr>
          <w:p w14:paraId="27700B03" w14:textId="77777777" w:rsidR="00B63A85" w:rsidRDefault="00C0062E">
            <w:pPr>
              <w:pStyle w:val="TableParagraph"/>
              <w:spacing w:before="20" w:after="20" w:line="218" w:lineRule="auto"/>
              <w:ind w:left="40"/>
            </w:pPr>
            <w:r>
              <w:rPr>
                <w:sz w:val="17"/>
                <w:szCs w:val="17"/>
              </w:rPr>
              <w:t>2,3×</w:t>
            </w:r>
          </w:p>
        </w:tc>
      </w:tr>
      <w:tr w:rsidR="00B63A85" w14:paraId="13E19BC6" w14:textId="77777777">
        <w:trPr>
          <w:cantSplit/>
        </w:trPr>
        <w:tc>
          <w:tcPr>
            <w:tcW w:w="1249" w:type="dxa"/>
            <w:tcBorders>
              <w:top w:val="single" w:sz="4" w:space="0" w:color="7F7F7F"/>
              <w:left w:val="single" w:sz="4" w:space="0" w:color="7F7F7F"/>
              <w:bottom w:val="single" w:sz="4" w:space="0" w:color="7F7F7F"/>
              <w:right w:val="single" w:sz="4" w:space="0" w:color="7F7F7F"/>
            </w:tcBorders>
          </w:tcPr>
          <w:p w14:paraId="4ACF6D5E" w14:textId="77777777" w:rsidR="00B63A85" w:rsidRDefault="00C0062E">
            <w:pPr>
              <w:pStyle w:val="TableParagraph"/>
              <w:spacing w:before="20" w:after="20" w:line="218" w:lineRule="auto"/>
              <w:ind w:left="40"/>
            </w:pPr>
            <w:r>
              <w:rPr>
                <w:sz w:val="17"/>
                <w:szCs w:val="17"/>
              </w:rPr>
              <w:t>10 %</w:t>
            </w:r>
          </w:p>
        </w:tc>
        <w:tc>
          <w:tcPr>
            <w:tcW w:w="1394" w:type="dxa"/>
            <w:tcBorders>
              <w:top w:val="single" w:sz="4" w:space="0" w:color="7F7F7F"/>
              <w:left w:val="single" w:sz="4" w:space="0" w:color="7F7F7F"/>
              <w:bottom w:val="single" w:sz="4" w:space="0" w:color="7F7F7F"/>
              <w:right w:val="single" w:sz="4" w:space="0" w:color="7F7F7F"/>
            </w:tcBorders>
          </w:tcPr>
          <w:p w14:paraId="12A38E29" w14:textId="77777777" w:rsidR="00B63A85" w:rsidRDefault="00C0062E">
            <w:pPr>
              <w:pStyle w:val="TableParagraph"/>
              <w:spacing w:before="20" w:after="20" w:line="218" w:lineRule="auto"/>
              <w:ind w:left="40"/>
            </w:pPr>
            <w:r>
              <w:rPr>
                <w:sz w:val="17"/>
                <w:szCs w:val="17"/>
              </w:rPr>
              <w:t>1.971</w:t>
            </w:r>
          </w:p>
        </w:tc>
        <w:tc>
          <w:tcPr>
            <w:tcW w:w="2207" w:type="dxa"/>
            <w:tcBorders>
              <w:top w:val="single" w:sz="4" w:space="0" w:color="7F7F7F"/>
              <w:left w:val="single" w:sz="4" w:space="0" w:color="7F7F7F"/>
              <w:bottom w:val="single" w:sz="4" w:space="0" w:color="7F7F7F"/>
              <w:right w:val="single" w:sz="4" w:space="0" w:color="7F7F7F"/>
            </w:tcBorders>
          </w:tcPr>
          <w:p w14:paraId="27917AA9" w14:textId="77777777" w:rsidR="00B63A85" w:rsidRDefault="00C0062E">
            <w:pPr>
              <w:pStyle w:val="TableParagraph"/>
              <w:spacing w:before="20" w:after="20" w:line="218" w:lineRule="auto"/>
              <w:ind w:left="40"/>
            </w:pPr>
            <w:r>
              <w:rPr>
                <w:sz w:val="17"/>
                <w:szCs w:val="17"/>
              </w:rPr>
              <w:t>1.742</w:t>
            </w:r>
          </w:p>
        </w:tc>
        <w:tc>
          <w:tcPr>
            <w:tcW w:w="1029" w:type="dxa"/>
            <w:tcBorders>
              <w:top w:val="single" w:sz="4" w:space="0" w:color="7F7F7F"/>
              <w:left w:val="single" w:sz="4" w:space="0" w:color="7F7F7F"/>
              <w:bottom w:val="single" w:sz="4" w:space="0" w:color="7F7F7F"/>
              <w:right w:val="single" w:sz="4" w:space="0" w:color="7F7F7F"/>
            </w:tcBorders>
          </w:tcPr>
          <w:p w14:paraId="131B6EFA" w14:textId="77777777" w:rsidR="00B63A85" w:rsidRDefault="00C0062E">
            <w:pPr>
              <w:pStyle w:val="TableParagraph"/>
              <w:spacing w:before="20" w:after="20" w:line="218" w:lineRule="auto"/>
              <w:ind w:left="40"/>
            </w:pPr>
            <w:r>
              <w:rPr>
                <w:sz w:val="17"/>
                <w:szCs w:val="17"/>
              </w:rPr>
              <w:t>20,7 %</w:t>
            </w:r>
          </w:p>
        </w:tc>
        <w:tc>
          <w:tcPr>
            <w:tcW w:w="1248" w:type="dxa"/>
            <w:tcBorders>
              <w:top w:val="single" w:sz="4" w:space="0" w:color="7F7F7F"/>
              <w:left w:val="single" w:sz="4" w:space="0" w:color="7F7F7F"/>
              <w:bottom w:val="single" w:sz="4" w:space="0" w:color="7F7F7F"/>
              <w:right w:val="single" w:sz="4" w:space="0" w:color="7F7F7F"/>
            </w:tcBorders>
          </w:tcPr>
          <w:p w14:paraId="1E7D2E89" w14:textId="77777777" w:rsidR="00B63A85" w:rsidRDefault="00C0062E">
            <w:pPr>
              <w:pStyle w:val="TableParagraph"/>
              <w:spacing w:before="20" w:after="20" w:line="218" w:lineRule="auto"/>
              <w:ind w:left="40"/>
            </w:pPr>
            <w:r>
              <w:rPr>
                <w:sz w:val="17"/>
                <w:szCs w:val="17"/>
              </w:rPr>
              <w:t>88 %</w:t>
            </w:r>
          </w:p>
        </w:tc>
        <w:tc>
          <w:tcPr>
            <w:tcW w:w="1470" w:type="dxa"/>
            <w:tcBorders>
              <w:top w:val="single" w:sz="4" w:space="0" w:color="7F7F7F"/>
              <w:left w:val="single" w:sz="4" w:space="0" w:color="7F7F7F"/>
              <w:bottom w:val="single" w:sz="4" w:space="0" w:color="7F7F7F"/>
              <w:right w:val="single" w:sz="4" w:space="0" w:color="7F7F7F"/>
            </w:tcBorders>
          </w:tcPr>
          <w:p w14:paraId="436EFCB6" w14:textId="77777777" w:rsidR="00B63A85" w:rsidRDefault="00C0062E">
            <w:pPr>
              <w:pStyle w:val="TableParagraph"/>
              <w:spacing w:before="20" w:after="20" w:line="218" w:lineRule="auto"/>
              <w:ind w:left="40"/>
            </w:pPr>
            <w:r>
              <w:rPr>
                <w:sz w:val="17"/>
                <w:szCs w:val="17"/>
              </w:rPr>
              <w:t>2,1×</w:t>
            </w:r>
          </w:p>
        </w:tc>
      </w:tr>
      <w:tr w:rsidR="00B63A85" w14:paraId="7010718A" w14:textId="77777777">
        <w:trPr>
          <w:cantSplit/>
        </w:trPr>
        <w:tc>
          <w:tcPr>
            <w:tcW w:w="1249" w:type="dxa"/>
            <w:tcBorders>
              <w:top w:val="single" w:sz="4" w:space="0" w:color="7F7F7F"/>
              <w:left w:val="single" w:sz="4" w:space="0" w:color="7F7F7F"/>
              <w:bottom w:val="single" w:sz="4" w:space="0" w:color="7F7F7F"/>
              <w:right w:val="single" w:sz="4" w:space="0" w:color="7F7F7F"/>
            </w:tcBorders>
          </w:tcPr>
          <w:p w14:paraId="5121C39C" w14:textId="77777777" w:rsidR="00B63A85" w:rsidRDefault="00C0062E">
            <w:pPr>
              <w:pStyle w:val="TableParagraph"/>
              <w:spacing w:before="20" w:after="20" w:line="218" w:lineRule="auto"/>
              <w:ind w:left="40"/>
            </w:pPr>
            <w:r>
              <w:rPr>
                <w:b/>
                <w:bCs/>
                <w:sz w:val="17"/>
                <w:szCs w:val="17"/>
              </w:rPr>
              <w:t>20 %</w:t>
            </w:r>
          </w:p>
        </w:tc>
        <w:tc>
          <w:tcPr>
            <w:tcW w:w="1394" w:type="dxa"/>
            <w:tcBorders>
              <w:top w:val="single" w:sz="4" w:space="0" w:color="7F7F7F"/>
              <w:left w:val="single" w:sz="4" w:space="0" w:color="7F7F7F"/>
              <w:bottom w:val="single" w:sz="4" w:space="0" w:color="7F7F7F"/>
              <w:right w:val="single" w:sz="4" w:space="0" w:color="7F7F7F"/>
            </w:tcBorders>
          </w:tcPr>
          <w:p w14:paraId="175A18DB" w14:textId="77777777" w:rsidR="00B63A85" w:rsidRDefault="00C0062E">
            <w:pPr>
              <w:pStyle w:val="TableParagraph"/>
              <w:spacing w:before="20" w:after="20" w:line="218" w:lineRule="auto"/>
              <w:ind w:left="40"/>
            </w:pPr>
            <w:r>
              <w:rPr>
                <w:b/>
                <w:bCs/>
                <w:sz w:val="17"/>
                <w:szCs w:val="17"/>
              </w:rPr>
              <w:t>3.942</w:t>
            </w:r>
          </w:p>
        </w:tc>
        <w:tc>
          <w:tcPr>
            <w:tcW w:w="2207" w:type="dxa"/>
            <w:tcBorders>
              <w:top w:val="single" w:sz="4" w:space="0" w:color="7F7F7F"/>
              <w:left w:val="single" w:sz="4" w:space="0" w:color="7F7F7F"/>
              <w:bottom w:val="single" w:sz="4" w:space="0" w:color="7F7F7F"/>
              <w:right w:val="single" w:sz="4" w:space="0" w:color="7F7F7F"/>
            </w:tcBorders>
          </w:tcPr>
          <w:p w14:paraId="76785396" w14:textId="77777777" w:rsidR="00B63A85" w:rsidRDefault="00C0062E">
            <w:pPr>
              <w:pStyle w:val="TableParagraph"/>
              <w:spacing w:before="20" w:after="20" w:line="218" w:lineRule="auto"/>
              <w:ind w:left="40"/>
            </w:pPr>
            <w:r>
              <w:rPr>
                <w:b/>
                <w:bCs/>
                <w:sz w:val="17"/>
                <w:szCs w:val="17"/>
              </w:rPr>
              <w:t>3.055</w:t>
            </w:r>
          </w:p>
        </w:tc>
        <w:tc>
          <w:tcPr>
            <w:tcW w:w="1029" w:type="dxa"/>
            <w:tcBorders>
              <w:top w:val="single" w:sz="4" w:space="0" w:color="7F7F7F"/>
              <w:left w:val="single" w:sz="4" w:space="0" w:color="7F7F7F"/>
              <w:bottom w:val="single" w:sz="4" w:space="0" w:color="7F7F7F"/>
              <w:right w:val="single" w:sz="4" w:space="0" w:color="7F7F7F"/>
            </w:tcBorders>
          </w:tcPr>
          <w:p w14:paraId="012B8D05" w14:textId="77777777" w:rsidR="00B63A85" w:rsidRDefault="00C0062E">
            <w:pPr>
              <w:pStyle w:val="TableParagraph"/>
              <w:spacing w:before="20" w:after="20" w:line="218" w:lineRule="auto"/>
              <w:ind w:left="40"/>
            </w:pPr>
            <w:r>
              <w:rPr>
                <w:b/>
                <w:bCs/>
                <w:sz w:val="17"/>
                <w:szCs w:val="17"/>
              </w:rPr>
              <w:t>36,4 %</w:t>
            </w:r>
          </w:p>
        </w:tc>
        <w:tc>
          <w:tcPr>
            <w:tcW w:w="1248" w:type="dxa"/>
            <w:tcBorders>
              <w:top w:val="single" w:sz="4" w:space="0" w:color="7F7F7F"/>
              <w:left w:val="single" w:sz="4" w:space="0" w:color="7F7F7F"/>
              <w:bottom w:val="single" w:sz="4" w:space="0" w:color="7F7F7F"/>
              <w:right w:val="single" w:sz="4" w:space="0" w:color="7F7F7F"/>
            </w:tcBorders>
          </w:tcPr>
          <w:p w14:paraId="7ECD9F1A" w14:textId="77777777" w:rsidR="00B63A85" w:rsidRDefault="00C0062E">
            <w:pPr>
              <w:pStyle w:val="TableParagraph"/>
              <w:spacing w:before="20" w:after="20" w:line="218" w:lineRule="auto"/>
              <w:ind w:left="40"/>
            </w:pPr>
            <w:r>
              <w:rPr>
                <w:b/>
                <w:bCs/>
                <w:sz w:val="17"/>
                <w:szCs w:val="17"/>
              </w:rPr>
              <w:t>78 %</w:t>
            </w:r>
          </w:p>
        </w:tc>
        <w:tc>
          <w:tcPr>
            <w:tcW w:w="1470" w:type="dxa"/>
            <w:tcBorders>
              <w:top w:val="single" w:sz="4" w:space="0" w:color="7F7F7F"/>
              <w:left w:val="single" w:sz="4" w:space="0" w:color="7F7F7F"/>
              <w:bottom w:val="single" w:sz="4" w:space="0" w:color="7F7F7F"/>
              <w:right w:val="single" w:sz="4" w:space="0" w:color="7F7F7F"/>
            </w:tcBorders>
          </w:tcPr>
          <w:p w14:paraId="315DA1AF" w14:textId="77777777" w:rsidR="00B63A85" w:rsidRDefault="00C0062E">
            <w:pPr>
              <w:pStyle w:val="TableParagraph"/>
              <w:spacing w:before="20" w:after="20" w:line="218" w:lineRule="auto"/>
              <w:ind w:left="40"/>
            </w:pPr>
            <w:r>
              <w:rPr>
                <w:b/>
                <w:bCs/>
                <w:sz w:val="17"/>
                <w:szCs w:val="17"/>
              </w:rPr>
              <w:t>1,8×</w:t>
            </w:r>
          </w:p>
        </w:tc>
      </w:tr>
      <w:tr w:rsidR="00B63A85" w14:paraId="1A6EF599" w14:textId="77777777">
        <w:trPr>
          <w:cantSplit/>
        </w:trPr>
        <w:tc>
          <w:tcPr>
            <w:tcW w:w="1249" w:type="dxa"/>
            <w:tcBorders>
              <w:top w:val="single" w:sz="4" w:space="0" w:color="7F7F7F"/>
              <w:left w:val="single" w:sz="4" w:space="0" w:color="7F7F7F"/>
              <w:bottom w:val="single" w:sz="4" w:space="0" w:color="7F7F7F"/>
              <w:right w:val="single" w:sz="4" w:space="0" w:color="7F7F7F"/>
            </w:tcBorders>
          </w:tcPr>
          <w:p w14:paraId="41E0B976" w14:textId="77777777" w:rsidR="00B63A85" w:rsidRDefault="00C0062E">
            <w:pPr>
              <w:pStyle w:val="TableParagraph"/>
              <w:spacing w:before="20" w:after="20" w:line="218" w:lineRule="auto"/>
              <w:ind w:left="40"/>
            </w:pPr>
            <w:r>
              <w:rPr>
                <w:sz w:val="17"/>
                <w:szCs w:val="17"/>
              </w:rPr>
              <w:t>30 %</w:t>
            </w:r>
          </w:p>
        </w:tc>
        <w:tc>
          <w:tcPr>
            <w:tcW w:w="1394" w:type="dxa"/>
            <w:tcBorders>
              <w:top w:val="single" w:sz="4" w:space="0" w:color="7F7F7F"/>
              <w:left w:val="single" w:sz="4" w:space="0" w:color="7F7F7F"/>
              <w:bottom w:val="single" w:sz="4" w:space="0" w:color="7F7F7F"/>
              <w:right w:val="single" w:sz="4" w:space="0" w:color="7F7F7F"/>
            </w:tcBorders>
          </w:tcPr>
          <w:p w14:paraId="6537C74C" w14:textId="77777777" w:rsidR="00B63A85" w:rsidRDefault="00C0062E">
            <w:pPr>
              <w:pStyle w:val="TableParagraph"/>
              <w:spacing w:before="20" w:after="20" w:line="218" w:lineRule="auto"/>
              <w:ind w:left="40"/>
            </w:pPr>
            <w:r>
              <w:rPr>
                <w:sz w:val="17"/>
                <w:szCs w:val="17"/>
              </w:rPr>
              <w:t>5.913</w:t>
            </w:r>
          </w:p>
        </w:tc>
        <w:tc>
          <w:tcPr>
            <w:tcW w:w="2207" w:type="dxa"/>
            <w:tcBorders>
              <w:top w:val="single" w:sz="4" w:space="0" w:color="7F7F7F"/>
              <w:left w:val="single" w:sz="4" w:space="0" w:color="7F7F7F"/>
              <w:bottom w:val="single" w:sz="4" w:space="0" w:color="7F7F7F"/>
              <w:right w:val="single" w:sz="4" w:space="0" w:color="7F7F7F"/>
            </w:tcBorders>
          </w:tcPr>
          <w:p w14:paraId="27E589E0" w14:textId="77777777" w:rsidR="00B63A85" w:rsidRDefault="00C0062E">
            <w:pPr>
              <w:pStyle w:val="TableParagraph"/>
              <w:spacing w:before="20" w:after="20" w:line="218" w:lineRule="auto"/>
              <w:ind w:left="40"/>
            </w:pPr>
            <w:r>
              <w:rPr>
                <w:sz w:val="17"/>
                <w:szCs w:val="17"/>
              </w:rPr>
              <w:t>4.118</w:t>
            </w:r>
          </w:p>
        </w:tc>
        <w:tc>
          <w:tcPr>
            <w:tcW w:w="1029" w:type="dxa"/>
            <w:tcBorders>
              <w:top w:val="single" w:sz="4" w:space="0" w:color="7F7F7F"/>
              <w:left w:val="single" w:sz="4" w:space="0" w:color="7F7F7F"/>
              <w:bottom w:val="single" w:sz="4" w:space="0" w:color="7F7F7F"/>
              <w:right w:val="single" w:sz="4" w:space="0" w:color="7F7F7F"/>
            </w:tcBorders>
          </w:tcPr>
          <w:p w14:paraId="2BE712FE" w14:textId="77777777" w:rsidR="00B63A85" w:rsidRDefault="00C0062E">
            <w:pPr>
              <w:pStyle w:val="TableParagraph"/>
              <w:spacing w:before="20" w:after="20" w:line="218" w:lineRule="auto"/>
              <w:ind w:left="40"/>
            </w:pPr>
            <w:r>
              <w:rPr>
                <w:sz w:val="17"/>
                <w:szCs w:val="17"/>
              </w:rPr>
              <w:t>49,0 %</w:t>
            </w:r>
          </w:p>
        </w:tc>
        <w:tc>
          <w:tcPr>
            <w:tcW w:w="1248" w:type="dxa"/>
            <w:tcBorders>
              <w:top w:val="single" w:sz="4" w:space="0" w:color="7F7F7F"/>
              <w:left w:val="single" w:sz="4" w:space="0" w:color="7F7F7F"/>
              <w:bottom w:val="single" w:sz="4" w:space="0" w:color="7F7F7F"/>
              <w:right w:val="single" w:sz="4" w:space="0" w:color="7F7F7F"/>
            </w:tcBorders>
          </w:tcPr>
          <w:p w14:paraId="5AD07217" w14:textId="77777777" w:rsidR="00B63A85" w:rsidRDefault="00C0062E">
            <w:pPr>
              <w:pStyle w:val="TableParagraph"/>
              <w:spacing w:before="20" w:after="20" w:line="218" w:lineRule="auto"/>
              <w:ind w:left="40"/>
            </w:pPr>
            <w:r>
              <w:rPr>
                <w:sz w:val="17"/>
                <w:szCs w:val="17"/>
              </w:rPr>
              <w:t>70 %</w:t>
            </w:r>
          </w:p>
        </w:tc>
        <w:tc>
          <w:tcPr>
            <w:tcW w:w="1470" w:type="dxa"/>
            <w:tcBorders>
              <w:top w:val="single" w:sz="4" w:space="0" w:color="7F7F7F"/>
              <w:left w:val="single" w:sz="4" w:space="0" w:color="7F7F7F"/>
              <w:bottom w:val="single" w:sz="4" w:space="0" w:color="7F7F7F"/>
              <w:right w:val="single" w:sz="4" w:space="0" w:color="7F7F7F"/>
            </w:tcBorders>
          </w:tcPr>
          <w:p w14:paraId="09B5B1B4" w14:textId="77777777" w:rsidR="00B63A85" w:rsidRDefault="00C0062E">
            <w:pPr>
              <w:pStyle w:val="TableParagraph"/>
              <w:spacing w:before="20" w:after="20" w:line="218" w:lineRule="auto"/>
              <w:ind w:left="40"/>
            </w:pPr>
            <w:r>
              <w:rPr>
                <w:sz w:val="17"/>
                <w:szCs w:val="17"/>
              </w:rPr>
              <w:t>1,6×</w:t>
            </w:r>
          </w:p>
        </w:tc>
      </w:tr>
      <w:tr w:rsidR="00B63A85" w14:paraId="0AA8AE01" w14:textId="77777777">
        <w:trPr>
          <w:cantSplit/>
        </w:trPr>
        <w:tc>
          <w:tcPr>
            <w:tcW w:w="1249" w:type="dxa"/>
            <w:tcBorders>
              <w:top w:val="single" w:sz="4" w:space="0" w:color="7F7F7F"/>
              <w:left w:val="single" w:sz="4" w:space="0" w:color="7F7F7F"/>
              <w:bottom w:val="single" w:sz="4" w:space="0" w:color="7F7F7F"/>
              <w:right w:val="single" w:sz="4" w:space="0" w:color="7F7F7F"/>
            </w:tcBorders>
          </w:tcPr>
          <w:p w14:paraId="2DD0B2B1" w14:textId="77777777" w:rsidR="00B63A85" w:rsidRDefault="00C0062E">
            <w:pPr>
              <w:pStyle w:val="TableParagraph"/>
              <w:spacing w:before="20" w:after="20" w:line="218" w:lineRule="auto"/>
              <w:ind w:left="40"/>
            </w:pPr>
            <w:r>
              <w:rPr>
                <w:sz w:val="17"/>
                <w:szCs w:val="17"/>
              </w:rPr>
              <w:t>50 %</w:t>
            </w:r>
          </w:p>
        </w:tc>
        <w:tc>
          <w:tcPr>
            <w:tcW w:w="1394" w:type="dxa"/>
            <w:tcBorders>
              <w:top w:val="single" w:sz="4" w:space="0" w:color="7F7F7F"/>
              <w:left w:val="single" w:sz="4" w:space="0" w:color="7F7F7F"/>
              <w:bottom w:val="single" w:sz="4" w:space="0" w:color="7F7F7F"/>
              <w:right w:val="single" w:sz="4" w:space="0" w:color="7F7F7F"/>
            </w:tcBorders>
          </w:tcPr>
          <w:p w14:paraId="3A640E69" w14:textId="77777777" w:rsidR="00B63A85" w:rsidRDefault="00C0062E">
            <w:pPr>
              <w:pStyle w:val="TableParagraph"/>
              <w:spacing w:before="20" w:after="20" w:line="218" w:lineRule="auto"/>
              <w:ind w:left="40"/>
            </w:pPr>
            <w:r>
              <w:rPr>
                <w:sz w:val="17"/>
                <w:szCs w:val="17"/>
              </w:rPr>
              <w:t>9.854</w:t>
            </w:r>
          </w:p>
        </w:tc>
        <w:tc>
          <w:tcPr>
            <w:tcW w:w="2207" w:type="dxa"/>
            <w:tcBorders>
              <w:top w:val="single" w:sz="4" w:space="0" w:color="7F7F7F"/>
              <w:left w:val="single" w:sz="4" w:space="0" w:color="7F7F7F"/>
              <w:bottom w:val="single" w:sz="4" w:space="0" w:color="7F7F7F"/>
              <w:right w:val="single" w:sz="4" w:space="0" w:color="7F7F7F"/>
            </w:tcBorders>
          </w:tcPr>
          <w:p w14:paraId="2B89B161" w14:textId="77777777" w:rsidR="00B63A85" w:rsidRDefault="00C0062E">
            <w:pPr>
              <w:pStyle w:val="TableParagraph"/>
              <w:spacing w:before="20" w:after="20" w:line="218" w:lineRule="auto"/>
              <w:ind w:left="40"/>
            </w:pPr>
            <w:r>
              <w:rPr>
                <w:sz w:val="17"/>
                <w:szCs w:val="17"/>
              </w:rPr>
              <w:t>5.826</w:t>
            </w:r>
          </w:p>
        </w:tc>
        <w:tc>
          <w:tcPr>
            <w:tcW w:w="1029" w:type="dxa"/>
            <w:tcBorders>
              <w:top w:val="single" w:sz="4" w:space="0" w:color="7F7F7F"/>
              <w:left w:val="single" w:sz="4" w:space="0" w:color="7F7F7F"/>
              <w:bottom w:val="single" w:sz="4" w:space="0" w:color="7F7F7F"/>
              <w:right w:val="single" w:sz="4" w:space="0" w:color="7F7F7F"/>
            </w:tcBorders>
          </w:tcPr>
          <w:p w14:paraId="5C66AAE8" w14:textId="77777777" w:rsidR="00B63A85" w:rsidRDefault="00C0062E">
            <w:pPr>
              <w:pStyle w:val="TableParagraph"/>
              <w:spacing w:before="20" w:after="20" w:line="218" w:lineRule="auto"/>
              <w:ind w:left="40"/>
            </w:pPr>
            <w:r>
              <w:rPr>
                <w:sz w:val="17"/>
                <w:szCs w:val="17"/>
              </w:rPr>
              <w:t>69,4 %</w:t>
            </w:r>
          </w:p>
        </w:tc>
        <w:tc>
          <w:tcPr>
            <w:tcW w:w="1248" w:type="dxa"/>
            <w:tcBorders>
              <w:top w:val="single" w:sz="4" w:space="0" w:color="7F7F7F"/>
              <w:left w:val="single" w:sz="4" w:space="0" w:color="7F7F7F"/>
              <w:bottom w:val="single" w:sz="4" w:space="0" w:color="7F7F7F"/>
              <w:right w:val="single" w:sz="4" w:space="0" w:color="7F7F7F"/>
            </w:tcBorders>
          </w:tcPr>
          <w:p w14:paraId="69B769DC" w14:textId="77777777" w:rsidR="00B63A85" w:rsidRDefault="00C0062E">
            <w:pPr>
              <w:pStyle w:val="TableParagraph"/>
              <w:spacing w:before="20" w:after="20" w:line="218" w:lineRule="auto"/>
              <w:ind w:left="40"/>
            </w:pPr>
            <w:r>
              <w:rPr>
                <w:sz w:val="17"/>
                <w:szCs w:val="17"/>
              </w:rPr>
              <w:t>59 %</w:t>
            </w:r>
          </w:p>
        </w:tc>
        <w:tc>
          <w:tcPr>
            <w:tcW w:w="1470" w:type="dxa"/>
            <w:tcBorders>
              <w:top w:val="single" w:sz="4" w:space="0" w:color="7F7F7F"/>
              <w:left w:val="single" w:sz="4" w:space="0" w:color="7F7F7F"/>
              <w:bottom w:val="single" w:sz="4" w:space="0" w:color="7F7F7F"/>
              <w:right w:val="single" w:sz="4" w:space="0" w:color="7F7F7F"/>
            </w:tcBorders>
          </w:tcPr>
          <w:p w14:paraId="3C65061F" w14:textId="77777777" w:rsidR="00B63A85" w:rsidRDefault="00C0062E">
            <w:pPr>
              <w:pStyle w:val="TableParagraph"/>
              <w:spacing w:before="20" w:after="20" w:line="218" w:lineRule="auto"/>
              <w:ind w:left="40"/>
            </w:pPr>
            <w:r>
              <w:rPr>
                <w:sz w:val="17"/>
                <w:szCs w:val="17"/>
              </w:rPr>
              <w:t>1,4×</w:t>
            </w:r>
          </w:p>
        </w:tc>
      </w:tr>
    </w:tbl>
    <w:p w14:paraId="04280E92" w14:textId="77777777" w:rsidR="00B63A85" w:rsidRDefault="00B63A85">
      <w:pPr>
        <w:pStyle w:val="BodyText"/>
        <w:spacing w:before="20" w:line="264" w:lineRule="auto"/>
        <w:ind w:left="170" w:right="120"/>
        <w:jc w:val="both"/>
      </w:pPr>
    </w:p>
    <w:p w14:paraId="0FC39EFB" w14:textId="77777777" w:rsidR="00B63A85" w:rsidRDefault="00C0062E">
      <w:pPr>
        <w:pStyle w:val="BodyText"/>
        <w:spacing w:before="90" w:line="264" w:lineRule="auto"/>
        <w:ind w:left="170" w:right="120"/>
        <w:jc w:val="both"/>
      </w:pPr>
      <w:r>
        <w:rPr>
          <w:i w:val="0"/>
          <w:iCs w:val="0"/>
          <w:sz w:val="20"/>
          <w:szCs w:val="20"/>
        </w:rPr>
        <w:t xml:space="preserve">Con una capacidad fija de 3.000 contactos por mes entre todos los concesionarios, el modelo llega al 65 % de los que se van, con una precisión del 61 %.</w:t>
      </w:r>
    </w:p>
    <w:p w14:paraId="5EB6AF8A" w14:textId="77777777" w:rsidR="00B63A85" w:rsidRDefault="00C0062E">
      <w:pPr>
        <w:keepNext/>
        <w:spacing w:before="120"/>
        <w:ind w:left="170"/>
        <w:jc w:val="center"/>
      </w:pPr>
      <w:r>
        <w:rPr>
          <w:noProof/>
        </w:rPr>
        <w:drawing>
          <wp:inline distT="0" distB="0" distL="0" distR="0" wp14:anchorId="48E30D9B" wp14:editId="498DC68E">
            <wp:extent cx="4064000" cy="2623185"/>
            <wp:effectExtent l="0" t="0" r="0" b="0"/>
            <wp:docPr id="7"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a 6"/>
                    <pic:cNvPicPr>
                      <a:picLocks noChangeAspect="1" noChangeArrowheads="1"/>
                    </pic:cNvPicPr>
                  </pic:nvPicPr>
                  <pic:blipFill>
                    <a:blip r:embed="rId23"/>
                    <a:stretch>
                      <a:fillRect/>
                    </a:stretch>
                  </pic:blipFill>
                  <pic:spPr bwMode="auto">
                    <a:xfrm>
                      <a:off x="0" y="0"/>
                      <a:ext cx="4064000" cy="2623185"/>
                    </a:xfrm>
                    <a:prstGeom prst="rect">
                      <a:avLst/>
                    </a:prstGeom>
                  </pic:spPr>
                </pic:pic>
              </a:graphicData>
            </a:graphic>
          </wp:inline>
        </w:drawing>
      </w:r>
    </w:p>
    <w:p w14:paraId="21792F5B" w14:textId="77777777" w:rsidR="00B63A85" w:rsidRDefault="00C0062E">
      <w:pPr>
        <w:pStyle w:val="Caption"/>
        <w:spacing w:before="40" w:after="160"/>
        <w:ind w:left="170" w:right="120"/>
        <w:jc w:val="center"/>
      </w:pPr>
      <w:r>
        <w:rPr>
          <w:sz w:val="16"/>
          <w:szCs w:val="16"/>
        </w:rPr>
        <w:t>Figura 6. Tasa de churn observada por decil de score. El decil 1 tiene 88 % de churn; el 10, 14 %.</w:t>
      </w:r>
    </w:p>
    <w:p w14:paraId="411A70F4" w14:textId="77777777" w:rsidR="00B63A85" w:rsidRDefault="00C0062E">
      <w:pPr>
        <w:pStyle w:val="BodyText"/>
        <w:spacing w:before="90" w:line="264" w:lineRule="auto"/>
        <w:ind w:left="170" w:right="120"/>
        <w:jc w:val="both"/>
      </w:pPr>
      <w:r>
        <w:rPr>
          <w:b/>
          <w:bCs/>
          <w:i w:val="0"/>
          <w:iCs w:val="0"/>
          <w:sz w:val="20"/>
          <w:szCs w:val="20"/>
        </w:rPr>
        <w:t>Ablaciones sobre el mismo test:</w:t>
      </w:r>
    </w:p>
    <w:tbl>
      <w:tblPr>
        <w:tblW w:w="8600" w:type="dxa"/>
        <w:tblInd w:w="170" w:type="dxa"/>
        <w:tblLayout w:type="fixed"/>
        <w:tblCellMar>
          <w:left w:w="60" w:type="dxa"/>
          <w:right w:w="60" w:type="dxa"/>
        </w:tblCellMar>
        <w:tblLook w:val="04A0" w:firstRow="1" w:lastRow="0" w:firstColumn="1" w:lastColumn="0" w:noHBand="0" w:noVBand="1"/>
      </w:tblPr>
      <w:tblGrid>
        <w:gridCol w:w="3120"/>
        <w:gridCol w:w="843"/>
        <w:gridCol w:w="802"/>
        <w:gridCol w:w="800"/>
        <w:gridCol w:w="3035"/>
      </w:tblGrid>
      <w:tr w:rsidR="00B63A85" w14:paraId="19CF4E16" w14:textId="77777777">
        <w:trPr>
          <w:cantSplit/>
          <w:tblHeader/>
        </w:trPr>
        <w:tc>
          <w:tcPr>
            <w:tcW w:w="3120" w:type="dxa"/>
            <w:tcBorders>
              <w:top w:val="single" w:sz="4" w:space="0" w:color="7F7F7F"/>
              <w:left w:val="single" w:sz="4" w:space="0" w:color="7F7F7F"/>
              <w:bottom w:val="single" w:sz="4" w:space="0" w:color="7F7F7F"/>
              <w:right w:val="single" w:sz="4" w:space="0" w:color="7F7F7F"/>
            </w:tcBorders>
            <w:shd w:val="clear" w:color="auto" w:fill="EDEDED"/>
          </w:tcPr>
          <w:p w14:paraId="2E6C11A4" w14:textId="77777777" w:rsidR="00B63A85" w:rsidRDefault="00C0062E">
            <w:pPr>
              <w:pStyle w:val="TableParagraph"/>
              <w:keepNext/>
              <w:spacing w:before="20" w:after="20" w:line="218" w:lineRule="auto"/>
              <w:ind w:left="40"/>
            </w:pPr>
            <w:r>
              <w:rPr>
                <w:b/>
                <w:bCs/>
                <w:sz w:val="17"/>
                <w:szCs w:val="17"/>
              </w:rPr>
              <w:t>Variante</w:t>
            </w:r>
          </w:p>
        </w:tc>
        <w:tc>
          <w:tcPr>
            <w:tcW w:w="843" w:type="dxa"/>
            <w:tcBorders>
              <w:top w:val="single" w:sz="4" w:space="0" w:color="7F7F7F"/>
              <w:left w:val="single" w:sz="4" w:space="0" w:color="7F7F7F"/>
              <w:bottom w:val="single" w:sz="4" w:space="0" w:color="7F7F7F"/>
              <w:right w:val="single" w:sz="4" w:space="0" w:color="7F7F7F"/>
            </w:tcBorders>
            <w:shd w:val="clear" w:color="auto" w:fill="EDEDED"/>
          </w:tcPr>
          <w:p w14:paraId="02ED819F" w14:textId="77777777" w:rsidR="00B63A85" w:rsidRDefault="00C0062E">
            <w:pPr>
              <w:pStyle w:val="TableParagraph"/>
              <w:keepNext/>
              <w:spacing w:before="20" w:after="20" w:line="218" w:lineRule="auto"/>
              <w:ind w:left="40"/>
            </w:pPr>
            <w:r>
              <w:rPr>
                <w:b/>
                <w:bCs/>
                <w:sz w:val="17"/>
                <w:szCs w:val="17"/>
              </w:rPr>
              <w:t>ROC-AUC</w:t>
            </w:r>
          </w:p>
        </w:tc>
        <w:tc>
          <w:tcPr>
            <w:tcW w:w="802" w:type="dxa"/>
            <w:tcBorders>
              <w:top w:val="single" w:sz="4" w:space="0" w:color="7F7F7F"/>
              <w:left w:val="single" w:sz="4" w:space="0" w:color="7F7F7F"/>
              <w:bottom w:val="single" w:sz="4" w:space="0" w:color="7F7F7F"/>
              <w:right w:val="single" w:sz="4" w:space="0" w:color="7F7F7F"/>
            </w:tcBorders>
            <w:shd w:val="clear" w:color="auto" w:fill="EDEDED"/>
          </w:tcPr>
          <w:p w14:paraId="6C925759" w14:textId="77777777" w:rsidR="00B63A85" w:rsidRDefault="00C0062E">
            <w:pPr>
              <w:pStyle w:val="TableParagraph"/>
              <w:keepNext/>
              <w:spacing w:before="20" w:after="20" w:line="218" w:lineRule="auto"/>
              <w:ind w:left="40"/>
            </w:pPr>
            <w:r>
              <w:rPr>
                <w:b/>
                <w:bCs/>
                <w:sz w:val="17"/>
                <w:szCs w:val="17"/>
              </w:rPr>
              <w:t>PR-AUC</w:t>
            </w:r>
          </w:p>
        </w:tc>
        <w:tc>
          <w:tcPr>
            <w:tcW w:w="800" w:type="dxa"/>
            <w:tcBorders>
              <w:top w:val="single" w:sz="4" w:space="0" w:color="7F7F7F"/>
              <w:left w:val="single" w:sz="4" w:space="0" w:color="7F7F7F"/>
              <w:bottom w:val="single" w:sz="4" w:space="0" w:color="7F7F7F"/>
              <w:right w:val="single" w:sz="4" w:space="0" w:color="7F7F7F"/>
            </w:tcBorders>
            <w:shd w:val="clear" w:color="auto" w:fill="EDEDED"/>
          </w:tcPr>
          <w:p w14:paraId="452DE014" w14:textId="77777777" w:rsidR="00B63A85" w:rsidRDefault="00C0062E">
            <w:pPr>
              <w:pStyle w:val="TableParagraph"/>
              <w:keepNext/>
              <w:spacing w:before="20" w:after="20" w:line="218" w:lineRule="auto"/>
              <w:ind w:left="40"/>
            </w:pPr>
            <w:r>
              <w:rPr>
                <w:b/>
                <w:bCs/>
                <w:sz w:val="17"/>
                <w:szCs w:val="17"/>
              </w:rPr>
              <w:t>ECE</w:t>
            </w:r>
          </w:p>
        </w:tc>
        <w:tc>
          <w:tcPr>
            <w:tcW w:w="3035" w:type="dxa"/>
            <w:tcBorders>
              <w:top w:val="single" w:sz="4" w:space="0" w:color="7F7F7F"/>
              <w:left w:val="single" w:sz="4" w:space="0" w:color="7F7F7F"/>
              <w:bottom w:val="single" w:sz="4" w:space="0" w:color="7F7F7F"/>
              <w:right w:val="single" w:sz="4" w:space="0" w:color="7F7F7F"/>
            </w:tcBorders>
            <w:shd w:val="clear" w:color="auto" w:fill="EDEDED"/>
          </w:tcPr>
          <w:p w14:paraId="0BFA3BA8" w14:textId="77777777" w:rsidR="00B63A85" w:rsidRDefault="00C0062E">
            <w:pPr>
              <w:pStyle w:val="TableParagraph"/>
              <w:keepNext/>
              <w:spacing w:before="20" w:after="20" w:line="218" w:lineRule="auto"/>
              <w:ind w:left="40"/>
            </w:pPr>
            <w:r>
              <w:rPr>
                <w:b/>
                <w:bCs/>
                <w:sz w:val="17"/>
                <w:szCs w:val="17"/>
              </w:rPr>
              <w:t>Lectura</w:t>
            </w:r>
          </w:p>
        </w:tc>
      </w:tr>
      <w:tr w:rsidR="00B63A85" w14:paraId="65AB2914" w14:textId="77777777">
        <w:trPr>
          <w:cantSplit/>
        </w:trPr>
        <w:tc>
          <w:tcPr>
            <w:tcW w:w="3120" w:type="dxa"/>
            <w:tcBorders>
              <w:top w:val="single" w:sz="4" w:space="0" w:color="7F7F7F"/>
              <w:left w:val="single" w:sz="4" w:space="0" w:color="7F7F7F"/>
              <w:bottom w:val="single" w:sz="4" w:space="0" w:color="7F7F7F"/>
              <w:right w:val="single" w:sz="4" w:space="0" w:color="7F7F7F"/>
            </w:tcBorders>
          </w:tcPr>
          <w:p w14:paraId="40F3625B" w14:textId="77777777" w:rsidR="00B63A85" w:rsidRDefault="00C0062E">
            <w:pPr>
              <w:pStyle w:val="TableParagraph"/>
              <w:spacing w:before="20" w:after="20" w:line="218" w:lineRule="auto"/>
              <w:ind w:left="40"/>
            </w:pPr>
            <w:r>
              <w:rPr>
                <w:sz w:val="17"/>
                <w:szCs w:val="17"/>
              </w:rPr>
              <w:t>Modelo base</w:t>
            </w:r>
          </w:p>
        </w:tc>
        <w:tc>
          <w:tcPr>
            <w:tcW w:w="843" w:type="dxa"/>
            <w:tcBorders>
              <w:top w:val="single" w:sz="4" w:space="0" w:color="7F7F7F"/>
              <w:left w:val="single" w:sz="4" w:space="0" w:color="7F7F7F"/>
              <w:bottom w:val="single" w:sz="4" w:space="0" w:color="7F7F7F"/>
              <w:right w:val="single" w:sz="4" w:space="0" w:color="7F7F7F"/>
            </w:tcBorders>
          </w:tcPr>
          <w:p w14:paraId="54111805" w14:textId="77777777" w:rsidR="00B63A85" w:rsidRDefault="00C0062E">
            <w:pPr>
              <w:pStyle w:val="TableParagraph"/>
              <w:spacing w:before="20" w:after="20" w:line="218" w:lineRule="auto"/>
              <w:ind w:left="40"/>
            </w:pPr>
            <w:r>
              <w:rPr>
                <w:sz w:val="17"/>
                <w:szCs w:val="17"/>
              </w:rPr>
              <w:t>0,740</w:t>
            </w:r>
          </w:p>
        </w:tc>
        <w:tc>
          <w:tcPr>
            <w:tcW w:w="802" w:type="dxa"/>
            <w:tcBorders>
              <w:top w:val="single" w:sz="4" w:space="0" w:color="7F7F7F"/>
              <w:left w:val="single" w:sz="4" w:space="0" w:color="7F7F7F"/>
              <w:bottom w:val="single" w:sz="4" w:space="0" w:color="7F7F7F"/>
              <w:right w:val="single" w:sz="4" w:space="0" w:color="7F7F7F"/>
            </w:tcBorders>
          </w:tcPr>
          <w:p w14:paraId="2ED3654A" w14:textId="77777777" w:rsidR="00B63A85" w:rsidRDefault="00C0062E">
            <w:pPr>
              <w:pStyle w:val="TableParagraph"/>
              <w:spacing w:before="20" w:after="20" w:line="218" w:lineRule="auto"/>
              <w:ind w:left="40"/>
            </w:pPr>
            <w:r>
              <w:rPr>
                <w:sz w:val="17"/>
                <w:szCs w:val="17"/>
              </w:rPr>
              <w:t>0,704</w:t>
            </w:r>
          </w:p>
        </w:tc>
        <w:tc>
          <w:tcPr>
            <w:tcW w:w="800" w:type="dxa"/>
            <w:tcBorders>
              <w:top w:val="single" w:sz="4" w:space="0" w:color="7F7F7F"/>
              <w:left w:val="single" w:sz="4" w:space="0" w:color="7F7F7F"/>
              <w:bottom w:val="single" w:sz="4" w:space="0" w:color="7F7F7F"/>
              <w:right w:val="single" w:sz="4" w:space="0" w:color="7F7F7F"/>
            </w:tcBorders>
          </w:tcPr>
          <w:p w14:paraId="7EE189D1" w14:textId="77777777" w:rsidR="00B63A85" w:rsidRDefault="00C0062E">
            <w:pPr>
              <w:pStyle w:val="TableParagraph"/>
              <w:spacing w:before="20" w:after="20" w:line="218" w:lineRule="auto"/>
              <w:ind w:left="40"/>
            </w:pPr>
            <w:r>
              <w:rPr>
                <w:sz w:val="17"/>
                <w:szCs w:val="17"/>
              </w:rPr>
              <w:t>0,010</w:t>
            </w:r>
          </w:p>
        </w:tc>
        <w:tc>
          <w:tcPr>
            <w:tcW w:w="3035" w:type="dxa"/>
            <w:tcBorders>
              <w:top w:val="single" w:sz="4" w:space="0" w:color="7F7F7F"/>
              <w:left w:val="single" w:sz="4" w:space="0" w:color="7F7F7F"/>
              <w:bottom w:val="single" w:sz="4" w:space="0" w:color="7F7F7F"/>
              <w:right w:val="single" w:sz="4" w:space="0" w:color="7F7F7F"/>
            </w:tcBorders>
          </w:tcPr>
          <w:p w14:paraId="2D711123" w14:textId="77777777" w:rsidR="00B63A85" w:rsidRDefault="00C0062E">
            <w:pPr>
              <w:pStyle w:val="TableParagraph"/>
              <w:spacing w:before="20" w:after="20" w:line="218" w:lineRule="auto"/>
              <w:ind w:left="40"/>
            </w:pPr>
            <w:r>
              <w:rPr>
                <w:sz w:val="17"/>
                <w:szCs w:val="17"/>
              </w:rPr>
              <w:t>—</w:t>
            </w:r>
          </w:p>
        </w:tc>
      </w:tr>
      <w:tr w:rsidR="00B63A85" w14:paraId="5D5548B2" w14:textId="77777777">
        <w:trPr>
          <w:cantSplit/>
        </w:trPr>
        <w:tc>
          <w:tcPr>
            <w:tcW w:w="3120" w:type="dxa"/>
            <w:tcBorders>
              <w:top w:val="single" w:sz="4" w:space="0" w:color="7F7F7F"/>
              <w:left w:val="single" w:sz="4" w:space="0" w:color="7F7F7F"/>
              <w:bottom w:val="single" w:sz="4" w:space="0" w:color="7F7F7F"/>
              <w:right w:val="single" w:sz="4" w:space="0" w:color="7F7F7F"/>
            </w:tcBorders>
          </w:tcPr>
          <w:p w14:paraId="7253DB66" w14:textId="77777777" w:rsidR="00B63A85" w:rsidRDefault="00C0062E">
            <w:pPr>
              <w:pStyle w:val="TableParagraph"/>
              <w:spacing w:before="20" w:after="20" w:line="218" w:lineRule="auto"/>
              <w:ind w:left="40"/>
            </w:pPr>
            <w:r>
              <w:rPr>
                <w:sz w:val="17"/>
                <w:szCs w:val="17"/>
              </w:rPr>
              <w:t>Sin concesionario, versión ni provincia</w:t>
            </w:r>
          </w:p>
        </w:tc>
        <w:tc>
          <w:tcPr>
            <w:tcW w:w="843" w:type="dxa"/>
            <w:tcBorders>
              <w:top w:val="single" w:sz="4" w:space="0" w:color="7F7F7F"/>
              <w:left w:val="single" w:sz="4" w:space="0" w:color="7F7F7F"/>
              <w:bottom w:val="single" w:sz="4" w:space="0" w:color="7F7F7F"/>
              <w:right w:val="single" w:sz="4" w:space="0" w:color="7F7F7F"/>
            </w:tcBorders>
          </w:tcPr>
          <w:p w14:paraId="1614D0EB" w14:textId="77777777" w:rsidR="00B63A85" w:rsidRDefault="00C0062E">
            <w:pPr>
              <w:pStyle w:val="TableParagraph"/>
              <w:spacing w:before="20" w:after="20" w:line="218" w:lineRule="auto"/>
              <w:ind w:left="40"/>
            </w:pPr>
            <w:r>
              <w:rPr>
                <w:sz w:val="17"/>
                <w:szCs w:val="17"/>
              </w:rPr>
              <w:t>0,738</w:t>
            </w:r>
          </w:p>
        </w:tc>
        <w:tc>
          <w:tcPr>
            <w:tcW w:w="802" w:type="dxa"/>
            <w:tcBorders>
              <w:top w:val="single" w:sz="4" w:space="0" w:color="7F7F7F"/>
              <w:left w:val="single" w:sz="4" w:space="0" w:color="7F7F7F"/>
              <w:bottom w:val="single" w:sz="4" w:space="0" w:color="7F7F7F"/>
              <w:right w:val="single" w:sz="4" w:space="0" w:color="7F7F7F"/>
            </w:tcBorders>
          </w:tcPr>
          <w:p w14:paraId="379F7A66" w14:textId="77777777" w:rsidR="00B63A85" w:rsidRDefault="00C0062E">
            <w:pPr>
              <w:pStyle w:val="TableParagraph"/>
              <w:spacing w:before="20" w:after="20" w:line="218" w:lineRule="auto"/>
              <w:ind w:left="40"/>
            </w:pPr>
            <w:r>
              <w:rPr>
                <w:sz w:val="17"/>
                <w:szCs w:val="17"/>
              </w:rPr>
              <w:t>0,700</w:t>
            </w:r>
          </w:p>
        </w:tc>
        <w:tc>
          <w:tcPr>
            <w:tcW w:w="800" w:type="dxa"/>
            <w:tcBorders>
              <w:top w:val="single" w:sz="4" w:space="0" w:color="7F7F7F"/>
              <w:left w:val="single" w:sz="4" w:space="0" w:color="7F7F7F"/>
              <w:bottom w:val="single" w:sz="4" w:space="0" w:color="7F7F7F"/>
              <w:right w:val="single" w:sz="4" w:space="0" w:color="7F7F7F"/>
            </w:tcBorders>
          </w:tcPr>
          <w:p w14:paraId="7C276947" w14:textId="77777777" w:rsidR="00B63A85" w:rsidRDefault="00C0062E">
            <w:pPr>
              <w:pStyle w:val="TableParagraph"/>
              <w:spacing w:before="20" w:after="20" w:line="218" w:lineRule="auto"/>
              <w:ind w:left="40"/>
            </w:pPr>
            <w:r>
              <w:rPr>
                <w:sz w:val="17"/>
                <w:szCs w:val="17"/>
              </w:rPr>
              <w:t>0,017</w:t>
            </w:r>
          </w:p>
        </w:tc>
        <w:tc>
          <w:tcPr>
            <w:tcW w:w="3035" w:type="dxa"/>
            <w:tcBorders>
              <w:top w:val="single" w:sz="4" w:space="0" w:color="7F7F7F"/>
              <w:left w:val="single" w:sz="4" w:space="0" w:color="7F7F7F"/>
              <w:bottom w:val="single" w:sz="4" w:space="0" w:color="7F7F7F"/>
              <w:right w:val="single" w:sz="4" w:space="0" w:color="7F7F7F"/>
            </w:tcBorders>
          </w:tcPr>
          <w:p w14:paraId="0EFEBAE9" w14:textId="77777777" w:rsidR="00B63A85" w:rsidRDefault="00C0062E">
            <w:pPr>
              <w:pStyle w:val="TableParagraph"/>
              <w:spacing w:before="20" w:after="20" w:line="218" w:lineRule="auto"/>
              <w:ind w:left="40"/>
            </w:pPr>
            <w:r>
              <w:rPr>
                <w:sz w:val="17"/>
                <w:szCs w:val="17"/>
              </w:rPr>
              <w:t>No depende de categóricas de alta cardinalidad</w:t>
            </w:r>
          </w:p>
        </w:tc>
      </w:tr>
      <w:tr w:rsidR="00B63A85" w14:paraId="66EF1DEF" w14:textId="77777777">
        <w:trPr>
          <w:cantSplit/>
        </w:trPr>
        <w:tc>
          <w:tcPr>
            <w:tcW w:w="3120" w:type="dxa"/>
            <w:tcBorders>
              <w:top w:val="single" w:sz="4" w:space="0" w:color="7F7F7F"/>
              <w:left w:val="single" w:sz="4" w:space="0" w:color="7F7F7F"/>
              <w:bottom w:val="single" w:sz="4" w:space="0" w:color="7F7F7F"/>
              <w:right w:val="single" w:sz="4" w:space="0" w:color="7F7F7F"/>
            </w:tcBorders>
          </w:tcPr>
          <w:p w14:paraId="2BD2BC84" w14:textId="77777777" w:rsidR="00B63A85" w:rsidRDefault="00C0062E">
            <w:pPr>
              <w:pStyle w:val="TableParagraph"/>
              <w:spacing w:before="20" w:after="20" w:line="218" w:lineRule="auto"/>
              <w:ind w:left="40"/>
            </w:pPr>
            <w:r>
              <w:rPr>
                <w:sz w:val="17"/>
                <w:szCs w:val="17"/>
              </w:rPr>
              <w:t>Sólo agenda (sin features de ventas)</w:t>
            </w:r>
          </w:p>
        </w:tc>
        <w:tc>
          <w:tcPr>
            <w:tcW w:w="843" w:type="dxa"/>
            <w:tcBorders>
              <w:top w:val="single" w:sz="4" w:space="0" w:color="7F7F7F"/>
              <w:left w:val="single" w:sz="4" w:space="0" w:color="7F7F7F"/>
              <w:bottom w:val="single" w:sz="4" w:space="0" w:color="7F7F7F"/>
              <w:right w:val="single" w:sz="4" w:space="0" w:color="7F7F7F"/>
            </w:tcBorders>
          </w:tcPr>
          <w:p w14:paraId="4E96E45A" w14:textId="77777777" w:rsidR="00B63A85" w:rsidRDefault="00C0062E">
            <w:pPr>
              <w:pStyle w:val="TableParagraph"/>
              <w:spacing w:before="20" w:after="20" w:line="218" w:lineRule="auto"/>
              <w:ind w:left="40"/>
            </w:pPr>
            <w:r>
              <w:rPr>
                <w:sz w:val="17"/>
                <w:szCs w:val="17"/>
              </w:rPr>
              <w:t>0,739</w:t>
            </w:r>
          </w:p>
        </w:tc>
        <w:tc>
          <w:tcPr>
            <w:tcW w:w="802" w:type="dxa"/>
            <w:tcBorders>
              <w:top w:val="single" w:sz="4" w:space="0" w:color="7F7F7F"/>
              <w:left w:val="single" w:sz="4" w:space="0" w:color="7F7F7F"/>
              <w:bottom w:val="single" w:sz="4" w:space="0" w:color="7F7F7F"/>
              <w:right w:val="single" w:sz="4" w:space="0" w:color="7F7F7F"/>
            </w:tcBorders>
          </w:tcPr>
          <w:p w14:paraId="0DC326B7" w14:textId="77777777" w:rsidR="00B63A85" w:rsidRDefault="00C0062E">
            <w:pPr>
              <w:pStyle w:val="TableParagraph"/>
              <w:spacing w:before="20" w:after="20" w:line="218" w:lineRule="auto"/>
              <w:ind w:left="40"/>
            </w:pPr>
            <w:r>
              <w:rPr>
                <w:sz w:val="17"/>
                <w:szCs w:val="17"/>
              </w:rPr>
              <w:t>0,700</w:t>
            </w:r>
          </w:p>
        </w:tc>
        <w:tc>
          <w:tcPr>
            <w:tcW w:w="800" w:type="dxa"/>
            <w:tcBorders>
              <w:top w:val="single" w:sz="4" w:space="0" w:color="7F7F7F"/>
              <w:left w:val="single" w:sz="4" w:space="0" w:color="7F7F7F"/>
              <w:bottom w:val="single" w:sz="4" w:space="0" w:color="7F7F7F"/>
              <w:right w:val="single" w:sz="4" w:space="0" w:color="7F7F7F"/>
            </w:tcBorders>
          </w:tcPr>
          <w:p w14:paraId="12B1020A" w14:textId="77777777" w:rsidR="00B63A85" w:rsidRDefault="00C0062E">
            <w:pPr>
              <w:pStyle w:val="TableParagraph"/>
              <w:spacing w:before="20" w:after="20" w:line="218" w:lineRule="auto"/>
              <w:ind w:left="40"/>
            </w:pPr>
            <w:r>
              <w:rPr>
                <w:sz w:val="17"/>
                <w:szCs w:val="17"/>
              </w:rPr>
              <w:t>0,011</w:t>
            </w:r>
          </w:p>
        </w:tc>
        <w:tc>
          <w:tcPr>
            <w:tcW w:w="3035" w:type="dxa"/>
            <w:tcBorders>
              <w:top w:val="single" w:sz="4" w:space="0" w:color="7F7F7F"/>
              <w:left w:val="single" w:sz="4" w:space="0" w:color="7F7F7F"/>
              <w:bottom w:val="single" w:sz="4" w:space="0" w:color="7F7F7F"/>
              <w:right w:val="single" w:sz="4" w:space="0" w:color="7F7F7F"/>
            </w:tcBorders>
          </w:tcPr>
          <w:p w14:paraId="2BA7FF05" w14:textId="77777777" w:rsidR="00B63A85" w:rsidRDefault="00C0062E">
            <w:pPr>
              <w:pStyle w:val="TableParagraph"/>
              <w:spacing w:before="20" w:after="20" w:line="218" w:lineRule="auto"/>
              <w:ind w:left="40"/>
            </w:pPr>
            <w:r>
              <w:rPr>
                <w:sz w:val="17"/>
                <w:szCs w:val="17"/>
              </w:rPr>
              <w:t>Ventas aporta población, no ranking</w:t>
            </w:r>
          </w:p>
        </w:tc>
      </w:tr>
      <w:tr w:rsidR="00B63A85" w14:paraId="61D1059A" w14:textId="77777777">
        <w:trPr>
          <w:cantSplit/>
        </w:trPr>
        <w:tc>
          <w:tcPr>
            <w:tcW w:w="3120" w:type="dxa"/>
            <w:tcBorders>
              <w:top w:val="single" w:sz="4" w:space="0" w:color="7F7F7F"/>
              <w:left w:val="single" w:sz="4" w:space="0" w:color="7F7F7F"/>
              <w:bottom w:val="single" w:sz="4" w:space="0" w:color="7F7F7F"/>
              <w:right w:val="single" w:sz="4" w:space="0" w:color="7F7F7F"/>
            </w:tcBorders>
          </w:tcPr>
          <w:p w14:paraId="7E5C3FB9" w14:textId="77777777" w:rsidR="00B63A85" w:rsidRDefault="00C0062E">
            <w:pPr>
              <w:pStyle w:val="TableParagraph"/>
              <w:spacing w:before="20" w:after="20" w:line="218" w:lineRule="auto"/>
              <w:ind w:left="40"/>
            </w:pPr>
            <w:r>
              <w:rPr>
                <w:sz w:val="17"/>
                <w:szCs w:val="17"/>
              </w:rPr>
              <w:t>Exige ≥ 6 meses de historia observable</w:t>
            </w:r>
          </w:p>
        </w:tc>
        <w:tc>
          <w:tcPr>
            <w:tcW w:w="843" w:type="dxa"/>
            <w:tcBorders>
              <w:top w:val="single" w:sz="4" w:space="0" w:color="7F7F7F"/>
              <w:left w:val="single" w:sz="4" w:space="0" w:color="7F7F7F"/>
              <w:bottom w:val="single" w:sz="4" w:space="0" w:color="7F7F7F"/>
              <w:right w:val="single" w:sz="4" w:space="0" w:color="7F7F7F"/>
            </w:tcBorders>
          </w:tcPr>
          <w:p w14:paraId="34059D9C" w14:textId="77777777" w:rsidR="00B63A85" w:rsidRDefault="00C0062E">
            <w:pPr>
              <w:pStyle w:val="TableParagraph"/>
              <w:spacing w:before="20" w:after="20" w:line="218" w:lineRule="auto"/>
              <w:ind w:left="40"/>
            </w:pPr>
            <w:r>
              <w:rPr>
                <w:sz w:val="17"/>
                <w:szCs w:val="17"/>
              </w:rPr>
              <w:t>0,738</w:t>
            </w:r>
          </w:p>
        </w:tc>
        <w:tc>
          <w:tcPr>
            <w:tcW w:w="802" w:type="dxa"/>
            <w:tcBorders>
              <w:top w:val="single" w:sz="4" w:space="0" w:color="7F7F7F"/>
              <w:left w:val="single" w:sz="4" w:space="0" w:color="7F7F7F"/>
              <w:bottom w:val="single" w:sz="4" w:space="0" w:color="7F7F7F"/>
              <w:right w:val="single" w:sz="4" w:space="0" w:color="7F7F7F"/>
            </w:tcBorders>
          </w:tcPr>
          <w:p w14:paraId="567C37D2" w14:textId="77777777" w:rsidR="00B63A85" w:rsidRDefault="00C0062E">
            <w:pPr>
              <w:pStyle w:val="TableParagraph"/>
              <w:spacing w:before="20" w:after="20" w:line="218" w:lineRule="auto"/>
              <w:ind w:left="40"/>
            </w:pPr>
            <w:r>
              <w:rPr>
                <w:sz w:val="17"/>
                <w:szCs w:val="17"/>
              </w:rPr>
              <w:t>0,702</w:t>
            </w:r>
          </w:p>
        </w:tc>
        <w:tc>
          <w:tcPr>
            <w:tcW w:w="800" w:type="dxa"/>
            <w:tcBorders>
              <w:top w:val="single" w:sz="4" w:space="0" w:color="7F7F7F"/>
              <w:left w:val="single" w:sz="4" w:space="0" w:color="7F7F7F"/>
              <w:bottom w:val="single" w:sz="4" w:space="0" w:color="7F7F7F"/>
              <w:right w:val="single" w:sz="4" w:space="0" w:color="7F7F7F"/>
            </w:tcBorders>
          </w:tcPr>
          <w:p w14:paraId="76765E6F" w14:textId="77777777" w:rsidR="00B63A85" w:rsidRDefault="00C0062E">
            <w:pPr>
              <w:pStyle w:val="TableParagraph"/>
              <w:spacing w:before="20" w:after="20" w:line="218" w:lineRule="auto"/>
              <w:ind w:left="40"/>
            </w:pPr>
            <w:r>
              <w:rPr>
                <w:sz w:val="17"/>
                <w:szCs w:val="17"/>
              </w:rPr>
              <w:t>0,013</w:t>
            </w:r>
          </w:p>
        </w:tc>
        <w:tc>
          <w:tcPr>
            <w:tcW w:w="3035" w:type="dxa"/>
            <w:tcBorders>
              <w:top w:val="single" w:sz="4" w:space="0" w:color="7F7F7F"/>
              <w:left w:val="single" w:sz="4" w:space="0" w:color="7F7F7F"/>
              <w:bottom w:val="single" w:sz="4" w:space="0" w:color="7F7F7F"/>
              <w:right w:val="single" w:sz="4" w:space="0" w:color="7F7F7F"/>
            </w:tcBorders>
          </w:tcPr>
          <w:p w14:paraId="3611BEC9" w14:textId="77777777" w:rsidR="00B63A85" w:rsidRDefault="00C0062E">
            <w:pPr>
              <w:pStyle w:val="TableParagraph"/>
              <w:spacing w:before="20" w:after="20" w:line="218" w:lineRule="auto"/>
              <w:ind w:left="40"/>
            </w:pPr>
            <w:r>
              <w:rPr>
                <w:sz w:val="17"/>
                <w:szCs w:val="17"/>
              </w:rPr>
              <w:t>La censura a la izquierda no distorsiona</w:t>
            </w:r>
          </w:p>
        </w:tc>
      </w:tr>
      <w:tr w:rsidR="00B63A85" w14:paraId="05E639A3" w14:textId="77777777">
        <w:trPr>
          <w:cantSplit/>
        </w:trPr>
        <w:tc>
          <w:tcPr>
            <w:tcW w:w="3120" w:type="dxa"/>
            <w:tcBorders>
              <w:top w:val="single" w:sz="4" w:space="0" w:color="7F7F7F"/>
              <w:left w:val="single" w:sz="4" w:space="0" w:color="7F7F7F"/>
              <w:bottom w:val="single" w:sz="4" w:space="0" w:color="7F7F7F"/>
              <w:right w:val="single" w:sz="4" w:space="0" w:color="7F7F7F"/>
            </w:tcBorders>
          </w:tcPr>
          <w:p w14:paraId="2AD0C3F5" w14:textId="77777777" w:rsidR="00B63A85" w:rsidRDefault="00C0062E">
            <w:pPr>
              <w:pStyle w:val="TableParagraph"/>
              <w:spacing w:before="20" w:after="20" w:line="218" w:lineRule="auto"/>
              <w:ind w:left="40"/>
            </w:pPr>
            <w:r>
              <w:rPr>
                <w:sz w:val="17"/>
                <w:szCs w:val="17"/>
              </w:rPr>
              <w:t>Sin encuestas</w:t>
            </w:r>
          </w:p>
        </w:tc>
        <w:tc>
          <w:tcPr>
            <w:tcW w:w="843" w:type="dxa"/>
            <w:tcBorders>
              <w:top w:val="single" w:sz="4" w:space="0" w:color="7F7F7F"/>
              <w:left w:val="single" w:sz="4" w:space="0" w:color="7F7F7F"/>
              <w:bottom w:val="single" w:sz="4" w:space="0" w:color="7F7F7F"/>
              <w:right w:val="single" w:sz="4" w:space="0" w:color="7F7F7F"/>
            </w:tcBorders>
          </w:tcPr>
          <w:p w14:paraId="25FA4DC5" w14:textId="77777777" w:rsidR="00B63A85" w:rsidRDefault="00C0062E">
            <w:pPr>
              <w:pStyle w:val="TableParagraph"/>
              <w:spacing w:before="20" w:after="20" w:line="218" w:lineRule="auto"/>
              <w:ind w:left="40"/>
            </w:pPr>
            <w:r>
              <w:rPr>
                <w:sz w:val="17"/>
                <w:szCs w:val="17"/>
              </w:rPr>
              <w:t>0,735</w:t>
            </w:r>
          </w:p>
        </w:tc>
        <w:tc>
          <w:tcPr>
            <w:tcW w:w="802" w:type="dxa"/>
            <w:tcBorders>
              <w:top w:val="single" w:sz="4" w:space="0" w:color="7F7F7F"/>
              <w:left w:val="single" w:sz="4" w:space="0" w:color="7F7F7F"/>
              <w:bottom w:val="single" w:sz="4" w:space="0" w:color="7F7F7F"/>
              <w:right w:val="single" w:sz="4" w:space="0" w:color="7F7F7F"/>
            </w:tcBorders>
          </w:tcPr>
          <w:p w14:paraId="0E864826" w14:textId="77777777" w:rsidR="00B63A85" w:rsidRDefault="00C0062E">
            <w:pPr>
              <w:pStyle w:val="TableParagraph"/>
              <w:spacing w:before="20" w:after="20" w:line="218" w:lineRule="auto"/>
              <w:ind w:left="40"/>
            </w:pPr>
            <w:r>
              <w:rPr>
                <w:sz w:val="17"/>
                <w:szCs w:val="17"/>
              </w:rPr>
              <w:t>0,698</w:t>
            </w:r>
          </w:p>
        </w:tc>
        <w:tc>
          <w:tcPr>
            <w:tcW w:w="800" w:type="dxa"/>
            <w:tcBorders>
              <w:top w:val="single" w:sz="4" w:space="0" w:color="7F7F7F"/>
              <w:left w:val="single" w:sz="4" w:space="0" w:color="7F7F7F"/>
              <w:bottom w:val="single" w:sz="4" w:space="0" w:color="7F7F7F"/>
              <w:right w:val="single" w:sz="4" w:space="0" w:color="7F7F7F"/>
            </w:tcBorders>
          </w:tcPr>
          <w:p w14:paraId="508A9B84" w14:textId="77777777" w:rsidR="00B63A85" w:rsidRDefault="00C0062E">
            <w:pPr>
              <w:pStyle w:val="TableParagraph"/>
              <w:spacing w:before="20" w:after="20" w:line="218" w:lineRule="auto"/>
              <w:ind w:left="40"/>
            </w:pPr>
            <w:r>
              <w:rPr>
                <w:sz w:val="17"/>
                <w:szCs w:val="17"/>
              </w:rPr>
              <w:t>0,013</w:t>
            </w:r>
          </w:p>
        </w:tc>
        <w:tc>
          <w:tcPr>
            <w:tcW w:w="3035" w:type="dxa"/>
            <w:tcBorders>
              <w:top w:val="single" w:sz="4" w:space="0" w:color="7F7F7F"/>
              <w:left w:val="single" w:sz="4" w:space="0" w:color="7F7F7F"/>
              <w:bottom w:val="single" w:sz="4" w:space="0" w:color="7F7F7F"/>
              <w:right w:val="single" w:sz="4" w:space="0" w:color="7F7F7F"/>
            </w:tcBorders>
          </w:tcPr>
          <w:p w14:paraId="707CFC41" w14:textId="77777777" w:rsidR="00B63A85" w:rsidRDefault="00C0062E">
            <w:pPr>
              <w:pStyle w:val="TableParagraph"/>
              <w:spacing w:before="20" w:after="20" w:line="218" w:lineRule="auto"/>
              <w:ind w:left="40"/>
            </w:pPr>
            <w:r>
              <w:rPr>
                <w:sz w:val="17"/>
                <w:szCs w:val="17"/>
              </w:rPr>
              <w:t>La encuesta no aporta</w:t>
            </w:r>
          </w:p>
        </w:tc>
      </w:tr>
      <w:tr w:rsidR="00B63A85" w14:paraId="365BCF9B" w14:textId="77777777">
        <w:trPr>
          <w:cantSplit/>
        </w:trPr>
        <w:tc>
          <w:tcPr>
            <w:tcW w:w="3120" w:type="dxa"/>
            <w:tcBorders>
              <w:top w:val="single" w:sz="4" w:space="0" w:color="7F7F7F"/>
              <w:left w:val="single" w:sz="4" w:space="0" w:color="7F7F7F"/>
              <w:bottom w:val="single" w:sz="4" w:space="0" w:color="7F7F7F"/>
              <w:right w:val="single" w:sz="4" w:space="0" w:color="7F7F7F"/>
            </w:tcBorders>
          </w:tcPr>
          <w:p w14:paraId="6C3DC49B" w14:textId="77777777" w:rsidR="00B63A85" w:rsidRDefault="00C0062E">
            <w:pPr>
              <w:pStyle w:val="TableParagraph"/>
              <w:spacing w:before="20" w:after="20" w:line="218" w:lineRule="auto"/>
              <w:ind w:left="40"/>
            </w:pPr>
            <w:r>
              <w:rPr>
                <w:sz w:val="17"/>
                <w:szCs w:val="17"/>
              </w:rPr>
              <w:t>Con ConnectedStatusARG (foto)</w:t>
            </w:r>
          </w:p>
        </w:tc>
        <w:tc>
          <w:tcPr>
            <w:tcW w:w="843" w:type="dxa"/>
            <w:tcBorders>
              <w:top w:val="single" w:sz="4" w:space="0" w:color="7F7F7F"/>
              <w:left w:val="single" w:sz="4" w:space="0" w:color="7F7F7F"/>
              <w:bottom w:val="single" w:sz="4" w:space="0" w:color="7F7F7F"/>
              <w:right w:val="single" w:sz="4" w:space="0" w:color="7F7F7F"/>
            </w:tcBorders>
          </w:tcPr>
          <w:p w14:paraId="18AC5676" w14:textId="77777777" w:rsidR="00B63A85" w:rsidRDefault="00C0062E">
            <w:pPr>
              <w:pStyle w:val="TableParagraph"/>
              <w:spacing w:before="20" w:after="20" w:line="218" w:lineRule="auto"/>
              <w:ind w:left="40"/>
            </w:pPr>
            <w:r>
              <w:rPr>
                <w:sz w:val="17"/>
                <w:szCs w:val="17"/>
              </w:rPr>
              <w:t>0,730</w:t>
            </w:r>
          </w:p>
        </w:tc>
        <w:tc>
          <w:tcPr>
            <w:tcW w:w="802" w:type="dxa"/>
            <w:tcBorders>
              <w:top w:val="single" w:sz="4" w:space="0" w:color="7F7F7F"/>
              <w:left w:val="single" w:sz="4" w:space="0" w:color="7F7F7F"/>
              <w:bottom w:val="single" w:sz="4" w:space="0" w:color="7F7F7F"/>
              <w:right w:val="single" w:sz="4" w:space="0" w:color="7F7F7F"/>
            </w:tcBorders>
          </w:tcPr>
          <w:p w14:paraId="267DB2ED" w14:textId="77777777" w:rsidR="00B63A85" w:rsidRDefault="00C0062E">
            <w:pPr>
              <w:pStyle w:val="TableParagraph"/>
              <w:spacing w:before="20" w:after="20" w:line="218" w:lineRule="auto"/>
              <w:ind w:left="40"/>
            </w:pPr>
            <w:r>
              <w:rPr>
                <w:sz w:val="17"/>
                <w:szCs w:val="17"/>
              </w:rPr>
              <w:t>0,689</w:t>
            </w:r>
          </w:p>
        </w:tc>
        <w:tc>
          <w:tcPr>
            <w:tcW w:w="800" w:type="dxa"/>
            <w:tcBorders>
              <w:top w:val="single" w:sz="4" w:space="0" w:color="7F7F7F"/>
              <w:left w:val="single" w:sz="4" w:space="0" w:color="7F7F7F"/>
              <w:bottom w:val="single" w:sz="4" w:space="0" w:color="7F7F7F"/>
              <w:right w:val="single" w:sz="4" w:space="0" w:color="7F7F7F"/>
            </w:tcBorders>
          </w:tcPr>
          <w:p w14:paraId="3F460191" w14:textId="77777777" w:rsidR="00B63A85" w:rsidRDefault="00C0062E">
            <w:pPr>
              <w:pStyle w:val="TableParagraph"/>
              <w:spacing w:before="20" w:after="20" w:line="218" w:lineRule="auto"/>
              <w:ind w:left="40"/>
            </w:pPr>
            <w:r>
              <w:rPr>
                <w:sz w:val="17"/>
                <w:szCs w:val="17"/>
              </w:rPr>
              <w:t>0,029</w:t>
            </w:r>
          </w:p>
        </w:tc>
        <w:tc>
          <w:tcPr>
            <w:tcW w:w="3035" w:type="dxa"/>
            <w:tcBorders>
              <w:top w:val="single" w:sz="4" w:space="0" w:color="7F7F7F"/>
              <w:left w:val="single" w:sz="4" w:space="0" w:color="7F7F7F"/>
              <w:bottom w:val="single" w:sz="4" w:space="0" w:color="7F7F7F"/>
              <w:right w:val="single" w:sz="4" w:space="0" w:color="7F7F7F"/>
            </w:tcBorders>
          </w:tcPr>
          <w:p w14:paraId="7BB6FED9" w14:textId="77777777" w:rsidR="00B63A85" w:rsidRDefault="00C0062E">
            <w:pPr>
              <w:pStyle w:val="TableParagraph"/>
              <w:spacing w:before="20" w:after="20" w:line="218" w:lineRule="auto"/>
              <w:ind w:left="40"/>
            </w:pPr>
            <w:r>
              <w:rPr>
                <w:sz w:val="17"/>
                <w:szCs w:val="17"/>
              </w:rPr>
              <w:t>Un leakage suave empeora fuera de tiempo</w:t>
            </w:r>
          </w:p>
        </w:tc>
      </w:tr>
      <w:tr w:rsidR="00B63A85" w14:paraId="11F895F4" w14:textId="77777777">
        <w:trPr>
          <w:cantSplit/>
        </w:trPr>
        <w:tc>
          <w:tcPr>
            <w:tcW w:w="3120" w:type="dxa"/>
            <w:tcBorders>
              <w:top w:val="single" w:sz="4" w:space="0" w:color="7F7F7F"/>
              <w:left w:val="single" w:sz="4" w:space="0" w:color="7F7F7F"/>
              <w:bottom w:val="single" w:sz="4" w:space="0" w:color="7F7F7F"/>
              <w:right w:val="single" w:sz="4" w:space="0" w:color="7F7F7F"/>
            </w:tcBorders>
          </w:tcPr>
          <w:p w14:paraId="7B38420D" w14:textId="77777777" w:rsidR="00B63A85" w:rsidRDefault="00C0062E">
            <w:pPr>
              <w:pStyle w:val="TableParagraph"/>
              <w:spacing w:before="20" w:after="20" w:line="218" w:lineRule="auto"/>
              <w:ind w:left="40"/>
            </w:pPr>
            <w:r>
              <w:rPr>
                <w:sz w:val="17"/>
                <w:szCs w:val="17"/>
              </w:rPr>
              <w:t>Con KM (foto) como km del evento</w:t>
            </w:r>
          </w:p>
        </w:tc>
        <w:tc>
          <w:tcPr>
            <w:tcW w:w="843" w:type="dxa"/>
            <w:tcBorders>
              <w:top w:val="single" w:sz="4" w:space="0" w:color="7F7F7F"/>
              <w:left w:val="single" w:sz="4" w:space="0" w:color="7F7F7F"/>
              <w:bottom w:val="single" w:sz="4" w:space="0" w:color="7F7F7F"/>
              <w:right w:val="single" w:sz="4" w:space="0" w:color="7F7F7F"/>
            </w:tcBorders>
          </w:tcPr>
          <w:p w14:paraId="384AD746" w14:textId="77777777" w:rsidR="00B63A85" w:rsidRDefault="00C0062E">
            <w:pPr>
              <w:pStyle w:val="TableParagraph"/>
              <w:spacing w:before="20" w:after="20" w:line="218" w:lineRule="auto"/>
              <w:ind w:left="40"/>
            </w:pPr>
            <w:r>
              <w:rPr>
                <w:sz w:val="17"/>
                <w:szCs w:val="17"/>
              </w:rPr>
              <w:t>0,813</w:t>
            </w:r>
          </w:p>
        </w:tc>
        <w:tc>
          <w:tcPr>
            <w:tcW w:w="802" w:type="dxa"/>
            <w:tcBorders>
              <w:top w:val="single" w:sz="4" w:space="0" w:color="7F7F7F"/>
              <w:left w:val="single" w:sz="4" w:space="0" w:color="7F7F7F"/>
              <w:bottom w:val="single" w:sz="4" w:space="0" w:color="7F7F7F"/>
              <w:right w:val="single" w:sz="4" w:space="0" w:color="7F7F7F"/>
            </w:tcBorders>
          </w:tcPr>
          <w:p w14:paraId="2A31574C" w14:textId="77777777" w:rsidR="00B63A85" w:rsidRDefault="00C0062E">
            <w:pPr>
              <w:pStyle w:val="TableParagraph"/>
              <w:spacing w:before="20" w:after="20" w:line="218" w:lineRule="auto"/>
              <w:ind w:left="40"/>
            </w:pPr>
            <w:r>
              <w:rPr>
                <w:sz w:val="17"/>
                <w:szCs w:val="17"/>
              </w:rPr>
              <w:t>0,802</w:t>
            </w:r>
          </w:p>
        </w:tc>
        <w:tc>
          <w:tcPr>
            <w:tcW w:w="800" w:type="dxa"/>
            <w:tcBorders>
              <w:top w:val="single" w:sz="4" w:space="0" w:color="7F7F7F"/>
              <w:left w:val="single" w:sz="4" w:space="0" w:color="7F7F7F"/>
              <w:bottom w:val="single" w:sz="4" w:space="0" w:color="7F7F7F"/>
              <w:right w:val="single" w:sz="4" w:space="0" w:color="7F7F7F"/>
            </w:tcBorders>
          </w:tcPr>
          <w:p w14:paraId="41EEC14C" w14:textId="77777777" w:rsidR="00B63A85" w:rsidRDefault="00C0062E">
            <w:pPr>
              <w:pStyle w:val="TableParagraph"/>
              <w:spacing w:before="20" w:after="20" w:line="218" w:lineRule="auto"/>
              <w:ind w:left="40"/>
            </w:pPr>
            <w:r>
              <w:rPr>
                <w:sz w:val="17"/>
                <w:szCs w:val="17"/>
              </w:rPr>
              <w:t>0,056</w:t>
            </w:r>
          </w:p>
        </w:tc>
        <w:tc>
          <w:tcPr>
            <w:tcW w:w="3035" w:type="dxa"/>
            <w:tcBorders>
              <w:top w:val="single" w:sz="4" w:space="0" w:color="7F7F7F"/>
              <w:left w:val="single" w:sz="4" w:space="0" w:color="7F7F7F"/>
              <w:bottom w:val="single" w:sz="4" w:space="0" w:color="7F7F7F"/>
              <w:right w:val="single" w:sz="4" w:space="0" w:color="7F7F7F"/>
            </w:tcBorders>
          </w:tcPr>
          <w:p w14:paraId="7F7A4D68" w14:textId="77777777" w:rsidR="00B63A85" w:rsidRDefault="00C0062E">
            <w:pPr>
              <w:pStyle w:val="TableParagraph"/>
              <w:spacing w:before="20" w:after="20" w:line="218" w:lineRule="auto"/>
              <w:ind w:left="40"/>
            </w:pPr>
            <w:r>
              <w:rPr>
                <w:sz w:val="17"/>
                <w:szCs w:val="17"/>
              </w:rPr>
              <w:t>Rendimiento inflado con información futura</w:t>
            </w:r>
          </w:p>
        </w:tc>
      </w:tr>
      <w:tr w:rsidR="00B63A85" w14:paraId="30BB8D39" w14:textId="77777777">
        <w:trPr>
          <w:cantSplit/>
        </w:trPr>
        <w:tc>
          <w:tcPr>
            <w:tcW w:w="3120" w:type="dxa"/>
            <w:tcBorders>
              <w:top w:val="single" w:sz="4" w:space="0" w:color="7F7F7F"/>
              <w:left w:val="single" w:sz="4" w:space="0" w:color="7F7F7F"/>
              <w:bottom w:val="single" w:sz="4" w:space="0" w:color="7F7F7F"/>
              <w:right w:val="single" w:sz="4" w:space="0" w:color="7F7F7F"/>
            </w:tcBorders>
          </w:tcPr>
          <w:p w14:paraId="089D7F32" w14:textId="77777777" w:rsidR="00B63A85" w:rsidRDefault="00C0062E">
            <w:pPr>
              <w:pStyle w:val="TableParagraph"/>
              <w:spacing w:before="20" w:after="20" w:line="218" w:lineRule="auto"/>
              <w:ind w:left="40"/>
            </w:pPr>
            <w:r>
              <w:rPr>
                <w:sz w:val="17"/>
                <w:szCs w:val="17"/>
              </w:rPr>
              <w:lastRenderedPageBreak/>
              <w:t>Sólo primer service (n = 3.562, churn 47 %)</w:t>
            </w:r>
          </w:p>
        </w:tc>
        <w:tc>
          <w:tcPr>
            <w:tcW w:w="843" w:type="dxa"/>
            <w:tcBorders>
              <w:top w:val="single" w:sz="4" w:space="0" w:color="7F7F7F"/>
              <w:left w:val="single" w:sz="4" w:space="0" w:color="7F7F7F"/>
              <w:bottom w:val="single" w:sz="4" w:space="0" w:color="7F7F7F"/>
              <w:right w:val="single" w:sz="4" w:space="0" w:color="7F7F7F"/>
            </w:tcBorders>
          </w:tcPr>
          <w:p w14:paraId="1D255491" w14:textId="77777777" w:rsidR="00B63A85" w:rsidRDefault="00C0062E">
            <w:pPr>
              <w:pStyle w:val="TableParagraph"/>
              <w:spacing w:before="20" w:after="20" w:line="218" w:lineRule="auto"/>
              <w:ind w:left="40"/>
            </w:pPr>
            <w:r>
              <w:rPr>
                <w:sz w:val="17"/>
                <w:szCs w:val="17"/>
              </w:rPr>
              <w:t>0,805</w:t>
            </w:r>
          </w:p>
        </w:tc>
        <w:tc>
          <w:tcPr>
            <w:tcW w:w="802" w:type="dxa"/>
            <w:tcBorders>
              <w:top w:val="single" w:sz="4" w:space="0" w:color="7F7F7F"/>
              <w:left w:val="single" w:sz="4" w:space="0" w:color="7F7F7F"/>
              <w:bottom w:val="single" w:sz="4" w:space="0" w:color="7F7F7F"/>
              <w:right w:val="single" w:sz="4" w:space="0" w:color="7F7F7F"/>
            </w:tcBorders>
          </w:tcPr>
          <w:p w14:paraId="3C2A0961" w14:textId="77777777" w:rsidR="00B63A85" w:rsidRDefault="00C0062E">
            <w:pPr>
              <w:pStyle w:val="TableParagraph"/>
              <w:spacing w:before="20" w:after="20" w:line="218" w:lineRule="auto"/>
              <w:ind w:left="40"/>
            </w:pPr>
            <w:r>
              <w:rPr>
                <w:sz w:val="17"/>
                <w:szCs w:val="17"/>
              </w:rPr>
              <w:t>0,835</w:t>
            </w:r>
          </w:p>
        </w:tc>
        <w:tc>
          <w:tcPr>
            <w:tcW w:w="800" w:type="dxa"/>
            <w:tcBorders>
              <w:top w:val="single" w:sz="4" w:space="0" w:color="7F7F7F"/>
              <w:left w:val="single" w:sz="4" w:space="0" w:color="7F7F7F"/>
              <w:bottom w:val="single" w:sz="4" w:space="0" w:color="7F7F7F"/>
              <w:right w:val="single" w:sz="4" w:space="0" w:color="7F7F7F"/>
            </w:tcBorders>
          </w:tcPr>
          <w:p w14:paraId="33B6ABC0" w14:textId="77777777" w:rsidR="00B63A85" w:rsidRDefault="00C0062E">
            <w:pPr>
              <w:pStyle w:val="TableParagraph"/>
              <w:spacing w:before="20" w:after="20" w:line="218" w:lineRule="auto"/>
              <w:ind w:left="40"/>
            </w:pPr>
            <w:r>
              <w:rPr>
                <w:sz w:val="17"/>
                <w:szCs w:val="17"/>
              </w:rPr>
              <w:t>0,025</w:t>
            </w:r>
          </w:p>
        </w:tc>
        <w:tc>
          <w:tcPr>
            <w:tcW w:w="3035" w:type="dxa"/>
            <w:tcBorders>
              <w:top w:val="single" w:sz="4" w:space="0" w:color="7F7F7F"/>
              <w:left w:val="single" w:sz="4" w:space="0" w:color="7F7F7F"/>
              <w:bottom w:val="single" w:sz="4" w:space="0" w:color="7F7F7F"/>
              <w:right w:val="single" w:sz="4" w:space="0" w:color="7F7F7F"/>
            </w:tcBorders>
          </w:tcPr>
          <w:p w14:paraId="01E7B29B" w14:textId="77777777" w:rsidR="00B63A85" w:rsidRDefault="00C0062E">
            <w:pPr>
              <w:pStyle w:val="TableParagraph"/>
              <w:spacing w:before="20" w:after="20" w:line="218" w:lineRule="auto"/>
              <w:ind w:left="40"/>
            </w:pPr>
            <w:r>
              <w:rPr>
                <w:sz w:val="17"/>
                <w:szCs w:val="17"/>
              </w:rPr>
              <w:t>El primer service es más predecible</w:t>
            </w:r>
          </w:p>
        </w:tc>
      </w:tr>
      <w:tr w:rsidR="00B63A85" w14:paraId="09599B62" w14:textId="77777777">
        <w:trPr>
          <w:cantSplit/>
        </w:trPr>
        <w:tc>
          <w:tcPr>
            <w:tcW w:w="3120" w:type="dxa"/>
            <w:tcBorders>
              <w:top w:val="single" w:sz="4" w:space="0" w:color="7F7F7F"/>
              <w:left w:val="single" w:sz="4" w:space="0" w:color="7F7F7F"/>
              <w:bottom w:val="single" w:sz="4" w:space="0" w:color="7F7F7F"/>
              <w:right w:val="single" w:sz="4" w:space="0" w:color="7F7F7F"/>
            </w:tcBorders>
          </w:tcPr>
          <w:p w14:paraId="26257DEE" w14:textId="77777777" w:rsidR="00B63A85" w:rsidRDefault="00C0062E">
            <w:pPr>
              <w:pStyle w:val="TableParagraph"/>
              <w:spacing w:before="20" w:after="20" w:line="218" w:lineRule="auto"/>
              <w:ind w:left="40"/>
            </w:pPr>
            <w:r>
              <w:rPr>
                <w:sz w:val="17"/>
                <w:szCs w:val="17"/>
              </w:rPr>
              <w:t>Sólo services siguientes (n = 16.147, churn 42 %)</w:t>
            </w:r>
          </w:p>
        </w:tc>
        <w:tc>
          <w:tcPr>
            <w:tcW w:w="843" w:type="dxa"/>
            <w:tcBorders>
              <w:top w:val="single" w:sz="4" w:space="0" w:color="7F7F7F"/>
              <w:left w:val="single" w:sz="4" w:space="0" w:color="7F7F7F"/>
              <w:bottom w:val="single" w:sz="4" w:space="0" w:color="7F7F7F"/>
              <w:right w:val="single" w:sz="4" w:space="0" w:color="7F7F7F"/>
            </w:tcBorders>
          </w:tcPr>
          <w:p w14:paraId="075CE31D" w14:textId="77777777" w:rsidR="00B63A85" w:rsidRDefault="00C0062E">
            <w:pPr>
              <w:pStyle w:val="TableParagraph"/>
              <w:spacing w:before="20" w:after="20" w:line="218" w:lineRule="auto"/>
              <w:ind w:left="40"/>
            </w:pPr>
            <w:r>
              <w:rPr>
                <w:sz w:val="17"/>
                <w:szCs w:val="17"/>
              </w:rPr>
              <w:t>0,721</w:t>
            </w:r>
          </w:p>
        </w:tc>
        <w:tc>
          <w:tcPr>
            <w:tcW w:w="802" w:type="dxa"/>
            <w:tcBorders>
              <w:top w:val="single" w:sz="4" w:space="0" w:color="7F7F7F"/>
              <w:left w:val="single" w:sz="4" w:space="0" w:color="7F7F7F"/>
              <w:bottom w:val="single" w:sz="4" w:space="0" w:color="7F7F7F"/>
              <w:right w:val="single" w:sz="4" w:space="0" w:color="7F7F7F"/>
            </w:tcBorders>
          </w:tcPr>
          <w:p w14:paraId="1181863C" w14:textId="77777777" w:rsidR="00B63A85" w:rsidRDefault="00C0062E">
            <w:pPr>
              <w:pStyle w:val="TableParagraph"/>
              <w:spacing w:before="20" w:after="20" w:line="218" w:lineRule="auto"/>
              <w:ind w:left="40"/>
            </w:pPr>
            <w:r>
              <w:rPr>
                <w:sz w:val="17"/>
                <w:szCs w:val="17"/>
              </w:rPr>
              <w:t>0,636</w:t>
            </w:r>
          </w:p>
        </w:tc>
        <w:tc>
          <w:tcPr>
            <w:tcW w:w="800" w:type="dxa"/>
            <w:tcBorders>
              <w:top w:val="single" w:sz="4" w:space="0" w:color="7F7F7F"/>
              <w:left w:val="single" w:sz="4" w:space="0" w:color="7F7F7F"/>
              <w:bottom w:val="single" w:sz="4" w:space="0" w:color="7F7F7F"/>
              <w:right w:val="single" w:sz="4" w:space="0" w:color="7F7F7F"/>
            </w:tcBorders>
          </w:tcPr>
          <w:p w14:paraId="31077634" w14:textId="77777777" w:rsidR="00B63A85" w:rsidRDefault="00C0062E">
            <w:pPr>
              <w:pStyle w:val="TableParagraph"/>
              <w:spacing w:before="20" w:after="20" w:line="218" w:lineRule="auto"/>
              <w:ind w:left="40"/>
            </w:pPr>
            <w:r>
              <w:rPr>
                <w:sz w:val="17"/>
                <w:szCs w:val="17"/>
              </w:rPr>
              <w:t>0,013</w:t>
            </w:r>
          </w:p>
        </w:tc>
        <w:tc>
          <w:tcPr>
            <w:tcW w:w="3035" w:type="dxa"/>
            <w:tcBorders>
              <w:top w:val="single" w:sz="4" w:space="0" w:color="7F7F7F"/>
              <w:left w:val="single" w:sz="4" w:space="0" w:color="7F7F7F"/>
              <w:bottom w:val="single" w:sz="4" w:space="0" w:color="7F7F7F"/>
              <w:right w:val="single" w:sz="4" w:space="0" w:color="7F7F7F"/>
            </w:tcBorders>
          </w:tcPr>
          <w:p w14:paraId="064E6A88" w14:textId="77777777" w:rsidR="00B63A85" w:rsidRDefault="00C0062E">
            <w:pPr>
              <w:pStyle w:val="TableParagraph"/>
              <w:spacing w:before="20" w:after="20" w:line="218" w:lineRule="auto"/>
              <w:ind w:left="40"/>
            </w:pPr>
            <w:r>
              <w:rPr>
                <w:sz w:val="17"/>
                <w:szCs w:val="17"/>
              </w:rPr>
              <w:t>—</w:t>
            </w:r>
          </w:p>
        </w:tc>
      </w:tr>
    </w:tbl>
    <w:p w14:paraId="4DAAA603" w14:textId="77777777" w:rsidR="00B63A85" w:rsidRDefault="00B63A85">
      <w:pPr>
        <w:pStyle w:val="BodyText"/>
        <w:spacing w:before="20" w:line="264" w:lineRule="auto"/>
        <w:ind w:left="170" w:right="120"/>
        <w:jc w:val="both"/>
      </w:pPr>
    </w:p>
    <w:p w14:paraId="26AFAFC3" w14:textId="77777777" w:rsidR="00B63A85" w:rsidRDefault="00C0062E">
      <w:pPr>
        <w:keepNext/>
        <w:spacing w:before="120"/>
        <w:ind w:left="170"/>
        <w:jc w:val="center"/>
      </w:pPr>
      <w:r>
        <w:rPr>
          <w:noProof/>
        </w:rPr>
        <w:drawing>
          <wp:inline distT="0" distB="0" distL="0" distR="0" wp14:anchorId="5F0707DB" wp14:editId="2BC54755">
            <wp:extent cx="5029200" cy="2794000"/>
            <wp:effectExtent l="0" t="0" r="0" b="0"/>
            <wp:docPr id="8" name="Figura 7" descr="Cinco variables con mayor SHAP absoluto medio en 8000 ventanas de test. Versión 0,280; mantenimientos por año 0,189; concesionario 0,183; antigüedad 0,171; flota 0,132 log-od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a 7"/>
                    <pic:cNvPicPr>
                      <a:picLocks noChangeAspect="1" noChangeArrowheads="1"/>
                    </pic:cNvPicPr>
                  </pic:nvPicPr>
                  <pic:blipFill>
                    <a:blip r:embed="rId24"/>
                    <a:stretch>
                      <a:fillRect/>
                    </a:stretch>
                  </pic:blipFill>
                  <pic:spPr bwMode="auto">
                    <a:xfrm>
                      <a:off x="0" y="0"/>
                      <a:ext cx="5029200" cy="2794000"/>
                    </a:xfrm>
                    <a:prstGeom prst="rect">
                      <a:avLst/>
                    </a:prstGeom>
                  </pic:spPr>
                </pic:pic>
              </a:graphicData>
            </a:graphic>
          </wp:inline>
        </w:drawing>
      </w:r>
    </w:p>
    <w:p w14:paraId="3CF68A2E" w14:textId="77777777" w:rsidR="00B63A85" w:rsidRDefault="00C0062E">
      <w:pPr>
        <w:pStyle w:val="Caption"/>
        <w:spacing w:before="40" w:after="160"/>
        <w:ind w:left="170" w:right="120"/>
        <w:jc w:val="center"/>
      </w:pPr>
      <w:r>
        <w:rPr>
          <w:sz w:val="16"/>
          <w:szCs w:val="16"/>
        </w:rPr>
        <w:t>Figura 7. Magnitud SHAP absoluta media de las cinco variables principales en 8.000 ventanas del test, en log-odds del modelo base antes de calibrar. Fuente: data/models/shap_global.csv, columna mean_abs_shap_logodds.</w:t>
      </w:r>
    </w:p>
    <w:p w14:paraId="591FE558" w14:textId="77777777" w:rsidR="00B63A85" w:rsidRDefault="00C0062E">
      <w:pPr>
        <w:pStyle w:val="Heading2"/>
        <w:keepNext/>
        <w:spacing w:before="280"/>
        <w:ind w:left="170" w:firstLine="0"/>
      </w:pPr>
      <w:r>
        <w:t>Anexo F. Segmentos, población de hoy e integración</w:t>
      </w:r>
    </w:p>
    <w:tbl>
      <w:tblPr>
        <w:tblW w:w="8600" w:type="dxa"/>
        <w:tblInd w:w="170" w:type="dxa"/>
        <w:tblLayout w:type="fixed"/>
        <w:tblCellMar>
          <w:left w:w="60" w:type="dxa"/>
          <w:right w:w="60" w:type="dxa"/>
        </w:tblCellMar>
        <w:tblLook w:val="04A0" w:firstRow="1" w:lastRow="0" w:firstColumn="1" w:lastColumn="0" w:noHBand="0" w:noVBand="1"/>
      </w:tblPr>
      <w:tblGrid>
        <w:gridCol w:w="799"/>
        <w:gridCol w:w="801"/>
        <w:gridCol w:w="864"/>
        <w:gridCol w:w="1167"/>
        <w:gridCol w:w="3069"/>
        <w:gridCol w:w="1900"/>
      </w:tblGrid>
      <w:tr w:rsidR="00B63A85" w14:paraId="0D8DA0D1" w14:textId="77777777">
        <w:trPr>
          <w:cantSplit/>
          <w:tblHeader/>
        </w:trPr>
        <w:tc>
          <w:tcPr>
            <w:tcW w:w="798" w:type="dxa"/>
            <w:tcBorders>
              <w:top w:val="single" w:sz="4" w:space="0" w:color="7F7F7F"/>
              <w:left w:val="single" w:sz="4" w:space="0" w:color="7F7F7F"/>
              <w:bottom w:val="single" w:sz="4" w:space="0" w:color="7F7F7F"/>
              <w:right w:val="single" w:sz="4" w:space="0" w:color="7F7F7F"/>
            </w:tcBorders>
            <w:shd w:val="clear" w:color="auto" w:fill="EDEDED"/>
          </w:tcPr>
          <w:p w14:paraId="37AE4A9E" w14:textId="77777777" w:rsidR="00B63A85" w:rsidRDefault="00C0062E">
            <w:pPr>
              <w:pStyle w:val="TableParagraph"/>
              <w:keepNext/>
              <w:spacing w:before="20" w:after="20" w:line="218" w:lineRule="auto"/>
              <w:ind w:left="40"/>
            </w:pPr>
            <w:r>
              <w:rPr>
                <w:b/>
                <w:bCs/>
                <w:sz w:val="17"/>
                <w:szCs w:val="17"/>
              </w:rPr>
              <w:t>Segmento</w:t>
            </w:r>
          </w:p>
        </w:tc>
        <w:tc>
          <w:tcPr>
            <w:tcW w:w="801" w:type="dxa"/>
            <w:tcBorders>
              <w:top w:val="single" w:sz="4" w:space="0" w:color="7F7F7F"/>
              <w:left w:val="single" w:sz="4" w:space="0" w:color="7F7F7F"/>
              <w:bottom w:val="single" w:sz="4" w:space="0" w:color="7F7F7F"/>
              <w:right w:val="single" w:sz="4" w:space="0" w:color="7F7F7F"/>
            </w:tcBorders>
            <w:shd w:val="clear" w:color="auto" w:fill="EDEDED"/>
          </w:tcPr>
          <w:p w14:paraId="34716D96" w14:textId="77777777" w:rsidR="00B63A85" w:rsidRDefault="00C0062E">
            <w:pPr>
              <w:pStyle w:val="TableParagraph"/>
              <w:keepNext/>
              <w:spacing w:before="20" w:after="20" w:line="218" w:lineRule="auto"/>
              <w:ind w:left="40"/>
            </w:pPr>
            <w:r>
              <w:rPr>
                <w:b/>
                <w:bCs/>
                <w:sz w:val="17"/>
                <w:szCs w:val="17"/>
              </w:rPr>
              <w:t>Tamaño</w:t>
            </w:r>
          </w:p>
        </w:tc>
        <w:tc>
          <w:tcPr>
            <w:tcW w:w="864" w:type="dxa"/>
            <w:tcBorders>
              <w:top w:val="single" w:sz="4" w:space="0" w:color="7F7F7F"/>
              <w:left w:val="single" w:sz="4" w:space="0" w:color="7F7F7F"/>
              <w:bottom w:val="single" w:sz="4" w:space="0" w:color="7F7F7F"/>
              <w:right w:val="single" w:sz="4" w:space="0" w:color="7F7F7F"/>
            </w:tcBorders>
            <w:shd w:val="clear" w:color="auto" w:fill="EDEDED"/>
          </w:tcPr>
          <w:p w14:paraId="7E85D354" w14:textId="77777777" w:rsidR="00B63A85" w:rsidRDefault="00C0062E">
            <w:pPr>
              <w:pStyle w:val="TableParagraph"/>
              <w:keepNext/>
              <w:spacing w:before="20" w:after="20" w:line="218" w:lineRule="auto"/>
              <w:ind w:left="40"/>
            </w:pPr>
            <w:r>
              <w:rPr>
                <w:b/>
                <w:bCs/>
                <w:sz w:val="17"/>
                <w:szCs w:val="17"/>
              </w:rPr>
              <w:t>Churn (test)</w:t>
            </w:r>
          </w:p>
        </w:tc>
        <w:tc>
          <w:tcPr>
            <w:tcW w:w="1167" w:type="dxa"/>
            <w:tcBorders>
              <w:top w:val="single" w:sz="4" w:space="0" w:color="7F7F7F"/>
              <w:left w:val="single" w:sz="4" w:space="0" w:color="7F7F7F"/>
              <w:bottom w:val="single" w:sz="4" w:space="0" w:color="7F7F7F"/>
              <w:right w:val="single" w:sz="4" w:space="0" w:color="7F7F7F"/>
            </w:tcBorders>
            <w:shd w:val="clear" w:color="auto" w:fill="EDEDED"/>
          </w:tcPr>
          <w:p w14:paraId="6F09346D" w14:textId="77777777" w:rsidR="00B63A85" w:rsidRDefault="00C0062E">
            <w:pPr>
              <w:pStyle w:val="TableParagraph"/>
              <w:keepNext/>
              <w:spacing w:before="20" w:after="20" w:line="218" w:lineRule="auto"/>
              <w:ind w:left="40"/>
            </w:pPr>
            <w:r>
              <w:rPr>
                <w:b/>
                <w:bCs/>
                <w:sz w:val="17"/>
                <w:szCs w:val="17"/>
              </w:rPr>
              <w:t>% de los que se van</w:t>
            </w:r>
          </w:p>
        </w:tc>
        <w:tc>
          <w:tcPr>
            <w:tcW w:w="3069" w:type="dxa"/>
            <w:tcBorders>
              <w:top w:val="single" w:sz="4" w:space="0" w:color="7F7F7F"/>
              <w:left w:val="single" w:sz="4" w:space="0" w:color="7F7F7F"/>
              <w:bottom w:val="single" w:sz="4" w:space="0" w:color="7F7F7F"/>
              <w:right w:val="single" w:sz="4" w:space="0" w:color="7F7F7F"/>
            </w:tcBorders>
            <w:shd w:val="clear" w:color="auto" w:fill="EDEDED"/>
          </w:tcPr>
          <w:p w14:paraId="4F2D1DA0" w14:textId="77777777" w:rsidR="00B63A85" w:rsidRDefault="00C0062E">
            <w:pPr>
              <w:pStyle w:val="TableParagraph"/>
              <w:keepNext/>
              <w:spacing w:before="20" w:after="20" w:line="218" w:lineRule="auto"/>
              <w:ind w:left="40"/>
            </w:pPr>
            <w:r>
              <w:rPr>
                <w:b/>
                <w:bCs/>
                <w:sz w:val="17"/>
                <w:szCs w:val="17"/>
              </w:rPr>
              <w:t>Acción</w:t>
            </w:r>
          </w:p>
        </w:tc>
        <w:tc>
          <w:tcPr>
            <w:tcW w:w="1900" w:type="dxa"/>
            <w:tcBorders>
              <w:top w:val="single" w:sz="4" w:space="0" w:color="7F7F7F"/>
              <w:left w:val="single" w:sz="4" w:space="0" w:color="7F7F7F"/>
              <w:bottom w:val="single" w:sz="4" w:space="0" w:color="7F7F7F"/>
              <w:right w:val="single" w:sz="4" w:space="0" w:color="7F7F7F"/>
            </w:tcBorders>
            <w:shd w:val="clear" w:color="auto" w:fill="EDEDED"/>
          </w:tcPr>
          <w:p w14:paraId="10D66FD9" w14:textId="77777777" w:rsidR="00B63A85" w:rsidRDefault="00C0062E">
            <w:pPr>
              <w:pStyle w:val="TableParagraph"/>
              <w:keepNext/>
              <w:spacing w:before="20" w:after="20" w:line="218" w:lineRule="auto"/>
              <w:ind w:left="40"/>
            </w:pPr>
            <w:r>
              <w:rPr>
                <w:b/>
                <w:bCs/>
                <w:sz w:val="17"/>
                <w:szCs w:val="17"/>
              </w:rPr>
              <w:t>Canal</w:t>
            </w:r>
          </w:p>
        </w:tc>
      </w:tr>
      <w:tr w:rsidR="00B63A85" w14:paraId="199CD8D2" w14:textId="77777777">
        <w:trPr>
          <w:cantSplit/>
        </w:trPr>
        <w:tc>
          <w:tcPr>
            <w:tcW w:w="798" w:type="dxa"/>
            <w:tcBorders>
              <w:top w:val="single" w:sz="4" w:space="0" w:color="7F7F7F"/>
              <w:left w:val="single" w:sz="4" w:space="0" w:color="7F7F7F"/>
              <w:bottom w:val="single" w:sz="4" w:space="0" w:color="7F7F7F"/>
              <w:right w:val="single" w:sz="4" w:space="0" w:color="7F7F7F"/>
            </w:tcBorders>
          </w:tcPr>
          <w:p w14:paraId="0D5F2242" w14:textId="77777777" w:rsidR="00B63A85" w:rsidRDefault="00C0062E">
            <w:pPr>
              <w:pStyle w:val="TableParagraph"/>
              <w:spacing w:before="20" w:after="20" w:line="218" w:lineRule="auto"/>
              <w:ind w:left="40"/>
            </w:pPr>
            <w:r>
              <w:rPr>
                <w:sz w:val="17"/>
                <w:szCs w:val="17"/>
              </w:rPr>
              <w:t>Alto</w:t>
            </w:r>
          </w:p>
        </w:tc>
        <w:tc>
          <w:tcPr>
            <w:tcW w:w="801" w:type="dxa"/>
            <w:tcBorders>
              <w:top w:val="single" w:sz="4" w:space="0" w:color="7F7F7F"/>
              <w:left w:val="single" w:sz="4" w:space="0" w:color="7F7F7F"/>
              <w:bottom w:val="single" w:sz="4" w:space="0" w:color="7F7F7F"/>
              <w:right w:val="single" w:sz="4" w:space="0" w:color="7F7F7F"/>
            </w:tcBorders>
          </w:tcPr>
          <w:p w14:paraId="15B1F786" w14:textId="77777777" w:rsidR="00B63A85" w:rsidRDefault="00C0062E">
            <w:pPr>
              <w:pStyle w:val="TableParagraph"/>
              <w:spacing w:before="20" w:after="20" w:line="218" w:lineRule="auto"/>
              <w:ind w:left="40"/>
            </w:pPr>
            <w:r>
              <w:rPr>
                <w:sz w:val="17"/>
                <w:szCs w:val="17"/>
              </w:rPr>
              <w:t>20 %</w:t>
            </w:r>
          </w:p>
        </w:tc>
        <w:tc>
          <w:tcPr>
            <w:tcW w:w="864" w:type="dxa"/>
            <w:tcBorders>
              <w:top w:val="single" w:sz="4" w:space="0" w:color="7F7F7F"/>
              <w:left w:val="single" w:sz="4" w:space="0" w:color="7F7F7F"/>
              <w:bottom w:val="single" w:sz="4" w:space="0" w:color="7F7F7F"/>
              <w:right w:val="single" w:sz="4" w:space="0" w:color="7F7F7F"/>
            </w:tcBorders>
          </w:tcPr>
          <w:p w14:paraId="67719656" w14:textId="77777777" w:rsidR="00B63A85" w:rsidRDefault="00C0062E">
            <w:pPr>
              <w:pStyle w:val="TableParagraph"/>
              <w:spacing w:before="20" w:after="20" w:line="218" w:lineRule="auto"/>
              <w:ind w:left="40"/>
            </w:pPr>
            <w:r>
              <w:rPr>
                <w:sz w:val="17"/>
                <w:szCs w:val="17"/>
              </w:rPr>
              <w:t>78 %</w:t>
            </w:r>
          </w:p>
        </w:tc>
        <w:tc>
          <w:tcPr>
            <w:tcW w:w="1167" w:type="dxa"/>
            <w:tcBorders>
              <w:top w:val="single" w:sz="4" w:space="0" w:color="7F7F7F"/>
              <w:left w:val="single" w:sz="4" w:space="0" w:color="7F7F7F"/>
              <w:bottom w:val="single" w:sz="4" w:space="0" w:color="7F7F7F"/>
              <w:right w:val="single" w:sz="4" w:space="0" w:color="7F7F7F"/>
            </w:tcBorders>
          </w:tcPr>
          <w:p w14:paraId="0BA14619" w14:textId="77777777" w:rsidR="00B63A85" w:rsidRDefault="00C0062E">
            <w:pPr>
              <w:pStyle w:val="TableParagraph"/>
              <w:spacing w:before="20" w:after="20" w:line="218" w:lineRule="auto"/>
              <w:ind w:left="40"/>
            </w:pPr>
            <w:r>
              <w:rPr>
                <w:sz w:val="17"/>
                <w:szCs w:val="17"/>
              </w:rPr>
              <w:t>36 %</w:t>
            </w:r>
          </w:p>
        </w:tc>
        <w:tc>
          <w:tcPr>
            <w:tcW w:w="3069" w:type="dxa"/>
            <w:tcBorders>
              <w:top w:val="single" w:sz="4" w:space="0" w:color="7F7F7F"/>
              <w:left w:val="single" w:sz="4" w:space="0" w:color="7F7F7F"/>
              <w:bottom w:val="single" w:sz="4" w:space="0" w:color="7F7F7F"/>
              <w:right w:val="single" w:sz="4" w:space="0" w:color="7F7F7F"/>
            </w:tcBorders>
          </w:tcPr>
          <w:p w14:paraId="450AF34A" w14:textId="77777777" w:rsidR="00B63A85" w:rsidRDefault="00C0062E">
            <w:pPr>
              <w:pStyle w:val="TableParagraph"/>
              <w:spacing w:before="20" w:after="20" w:line="218" w:lineRule="auto"/>
              <w:ind w:left="40"/>
            </w:pPr>
            <w:r>
              <w:rPr>
                <w:sz w:val="17"/>
                <w:szCs w:val="17"/>
              </w:rPr>
              <w:t>Contacto del asesor de service dentro de las 48 h de abrir la ventana, con oferta concreta: el descuento por continuidad que Ford ya tiene (5 % en el 2° service, 10 % en el 3°, 15 % del 4° en adelante), precio fijo, turno con retiro y entrega</w:t>
            </w:r>
          </w:p>
        </w:tc>
        <w:tc>
          <w:tcPr>
            <w:tcW w:w="1900" w:type="dxa"/>
            <w:tcBorders>
              <w:top w:val="single" w:sz="4" w:space="0" w:color="7F7F7F"/>
              <w:left w:val="single" w:sz="4" w:space="0" w:color="7F7F7F"/>
              <w:bottom w:val="single" w:sz="4" w:space="0" w:color="7F7F7F"/>
              <w:right w:val="single" w:sz="4" w:space="0" w:color="7F7F7F"/>
            </w:tcBorders>
          </w:tcPr>
          <w:p w14:paraId="50243F4A" w14:textId="77777777" w:rsidR="00B63A85" w:rsidRDefault="00C0062E">
            <w:pPr>
              <w:pStyle w:val="TableParagraph"/>
              <w:spacing w:before="20" w:after="20" w:line="218" w:lineRule="auto"/>
              <w:ind w:left="40"/>
            </w:pPr>
            <w:r>
              <w:rPr>
                <w:sz w:val="17"/>
                <w:szCs w:val="17"/>
              </w:rPr>
              <w:t>Service Leads (dealer)</w:t>
            </w:r>
          </w:p>
        </w:tc>
      </w:tr>
      <w:tr w:rsidR="00B63A85" w14:paraId="46CD915A" w14:textId="77777777">
        <w:trPr>
          <w:cantSplit/>
        </w:trPr>
        <w:tc>
          <w:tcPr>
            <w:tcW w:w="798" w:type="dxa"/>
            <w:tcBorders>
              <w:top w:val="single" w:sz="4" w:space="0" w:color="7F7F7F"/>
              <w:left w:val="single" w:sz="4" w:space="0" w:color="7F7F7F"/>
              <w:bottom w:val="single" w:sz="4" w:space="0" w:color="7F7F7F"/>
              <w:right w:val="single" w:sz="4" w:space="0" w:color="7F7F7F"/>
            </w:tcBorders>
          </w:tcPr>
          <w:p w14:paraId="3136A916" w14:textId="77777777" w:rsidR="00B63A85" w:rsidRDefault="00C0062E">
            <w:pPr>
              <w:pStyle w:val="TableParagraph"/>
              <w:spacing w:before="20" w:after="20" w:line="218" w:lineRule="auto"/>
              <w:ind w:left="40"/>
            </w:pPr>
            <w:r>
              <w:rPr>
                <w:sz w:val="17"/>
                <w:szCs w:val="17"/>
              </w:rPr>
              <w:t>Medio</w:t>
            </w:r>
          </w:p>
        </w:tc>
        <w:tc>
          <w:tcPr>
            <w:tcW w:w="801" w:type="dxa"/>
            <w:tcBorders>
              <w:top w:val="single" w:sz="4" w:space="0" w:color="7F7F7F"/>
              <w:left w:val="single" w:sz="4" w:space="0" w:color="7F7F7F"/>
              <w:bottom w:val="single" w:sz="4" w:space="0" w:color="7F7F7F"/>
              <w:right w:val="single" w:sz="4" w:space="0" w:color="7F7F7F"/>
            </w:tcBorders>
          </w:tcPr>
          <w:p w14:paraId="19017EB2" w14:textId="77777777" w:rsidR="00B63A85" w:rsidRDefault="00C0062E">
            <w:pPr>
              <w:pStyle w:val="TableParagraph"/>
              <w:spacing w:before="20" w:after="20" w:line="218" w:lineRule="auto"/>
              <w:ind w:left="40"/>
            </w:pPr>
            <w:r>
              <w:rPr>
                <w:sz w:val="17"/>
                <w:szCs w:val="17"/>
              </w:rPr>
              <w:t>30 %</w:t>
            </w:r>
          </w:p>
        </w:tc>
        <w:tc>
          <w:tcPr>
            <w:tcW w:w="864" w:type="dxa"/>
            <w:tcBorders>
              <w:top w:val="single" w:sz="4" w:space="0" w:color="7F7F7F"/>
              <w:left w:val="single" w:sz="4" w:space="0" w:color="7F7F7F"/>
              <w:bottom w:val="single" w:sz="4" w:space="0" w:color="7F7F7F"/>
              <w:right w:val="single" w:sz="4" w:space="0" w:color="7F7F7F"/>
            </w:tcBorders>
          </w:tcPr>
          <w:p w14:paraId="69663400" w14:textId="77777777" w:rsidR="00B63A85" w:rsidRDefault="00C0062E">
            <w:pPr>
              <w:pStyle w:val="TableParagraph"/>
              <w:spacing w:before="20" w:after="20" w:line="218" w:lineRule="auto"/>
              <w:ind w:left="40"/>
            </w:pPr>
            <w:r>
              <w:rPr>
                <w:sz w:val="17"/>
                <w:szCs w:val="17"/>
              </w:rPr>
              <w:t>47 %</w:t>
            </w:r>
          </w:p>
        </w:tc>
        <w:tc>
          <w:tcPr>
            <w:tcW w:w="1167" w:type="dxa"/>
            <w:tcBorders>
              <w:top w:val="single" w:sz="4" w:space="0" w:color="7F7F7F"/>
              <w:left w:val="single" w:sz="4" w:space="0" w:color="7F7F7F"/>
              <w:bottom w:val="single" w:sz="4" w:space="0" w:color="7F7F7F"/>
              <w:right w:val="single" w:sz="4" w:space="0" w:color="7F7F7F"/>
            </w:tcBorders>
          </w:tcPr>
          <w:p w14:paraId="10E5CCD4" w14:textId="77777777" w:rsidR="00B63A85" w:rsidRDefault="00C0062E">
            <w:pPr>
              <w:pStyle w:val="TableParagraph"/>
              <w:spacing w:before="20" w:after="20" w:line="218" w:lineRule="auto"/>
              <w:ind w:left="40"/>
            </w:pPr>
            <w:r>
              <w:rPr>
                <w:sz w:val="17"/>
                <w:szCs w:val="17"/>
              </w:rPr>
              <w:t>33 %</w:t>
            </w:r>
          </w:p>
        </w:tc>
        <w:tc>
          <w:tcPr>
            <w:tcW w:w="3069" w:type="dxa"/>
            <w:tcBorders>
              <w:top w:val="single" w:sz="4" w:space="0" w:color="7F7F7F"/>
              <w:left w:val="single" w:sz="4" w:space="0" w:color="7F7F7F"/>
              <w:bottom w:val="single" w:sz="4" w:space="0" w:color="7F7F7F"/>
              <w:right w:val="single" w:sz="4" w:space="0" w:color="7F7F7F"/>
            </w:tcBorders>
          </w:tcPr>
          <w:p w14:paraId="5AEF98E9" w14:textId="77777777" w:rsidR="00B63A85" w:rsidRDefault="00C0062E">
            <w:pPr>
              <w:pStyle w:val="TableParagraph"/>
              <w:spacing w:before="20" w:after="20" w:line="218" w:lineRule="auto"/>
              <w:ind w:left="40"/>
            </w:pPr>
            <w:r>
              <w:rPr>
                <w:sz w:val="17"/>
                <w:szCs w:val="17"/>
              </w:rPr>
              <w:t>Recordatorio personalizado con turno sugerido y beneficio liviano; segundo toque a los 10 días si no agenda</w:t>
            </w:r>
          </w:p>
        </w:tc>
        <w:tc>
          <w:tcPr>
            <w:tcW w:w="1900" w:type="dxa"/>
            <w:tcBorders>
              <w:top w:val="single" w:sz="4" w:space="0" w:color="7F7F7F"/>
              <w:left w:val="single" w:sz="4" w:space="0" w:color="7F7F7F"/>
              <w:bottom w:val="single" w:sz="4" w:space="0" w:color="7F7F7F"/>
              <w:right w:val="single" w:sz="4" w:space="0" w:color="7F7F7F"/>
            </w:tcBorders>
          </w:tcPr>
          <w:p w14:paraId="34CA0FD1" w14:textId="77777777" w:rsidR="00B63A85" w:rsidRDefault="00C0062E">
            <w:pPr>
              <w:pStyle w:val="TableParagraph"/>
              <w:spacing w:before="20" w:after="20" w:line="218" w:lineRule="auto"/>
              <w:ind w:left="40"/>
            </w:pPr>
            <w:r>
              <w:rPr>
                <w:sz w:val="17"/>
                <w:szCs w:val="17"/>
              </w:rPr>
              <w:t>FordPass / WhatsApp (Customer Tweet)</w:t>
            </w:r>
          </w:p>
        </w:tc>
      </w:tr>
      <w:tr w:rsidR="00B63A85" w14:paraId="66D6C665" w14:textId="77777777">
        <w:trPr>
          <w:cantSplit/>
        </w:trPr>
        <w:tc>
          <w:tcPr>
            <w:tcW w:w="798" w:type="dxa"/>
            <w:tcBorders>
              <w:top w:val="single" w:sz="4" w:space="0" w:color="7F7F7F"/>
              <w:left w:val="single" w:sz="4" w:space="0" w:color="7F7F7F"/>
              <w:bottom w:val="single" w:sz="4" w:space="0" w:color="7F7F7F"/>
              <w:right w:val="single" w:sz="4" w:space="0" w:color="7F7F7F"/>
            </w:tcBorders>
          </w:tcPr>
          <w:p w14:paraId="574E0E06" w14:textId="77777777" w:rsidR="00B63A85" w:rsidRDefault="00C0062E">
            <w:pPr>
              <w:pStyle w:val="TableParagraph"/>
              <w:spacing w:before="20" w:after="20" w:line="218" w:lineRule="auto"/>
              <w:ind w:left="40"/>
            </w:pPr>
            <w:r>
              <w:rPr>
                <w:sz w:val="17"/>
                <w:szCs w:val="17"/>
              </w:rPr>
              <w:t>Bajo</w:t>
            </w:r>
          </w:p>
        </w:tc>
        <w:tc>
          <w:tcPr>
            <w:tcW w:w="801" w:type="dxa"/>
            <w:tcBorders>
              <w:top w:val="single" w:sz="4" w:space="0" w:color="7F7F7F"/>
              <w:left w:val="single" w:sz="4" w:space="0" w:color="7F7F7F"/>
              <w:bottom w:val="single" w:sz="4" w:space="0" w:color="7F7F7F"/>
              <w:right w:val="single" w:sz="4" w:space="0" w:color="7F7F7F"/>
            </w:tcBorders>
          </w:tcPr>
          <w:p w14:paraId="687CDE55" w14:textId="77777777" w:rsidR="00B63A85" w:rsidRDefault="00C0062E">
            <w:pPr>
              <w:pStyle w:val="TableParagraph"/>
              <w:spacing w:before="20" w:after="20" w:line="218" w:lineRule="auto"/>
              <w:ind w:left="40"/>
            </w:pPr>
            <w:r>
              <w:rPr>
                <w:sz w:val="17"/>
                <w:szCs w:val="17"/>
              </w:rPr>
              <w:t>50 %</w:t>
            </w:r>
          </w:p>
        </w:tc>
        <w:tc>
          <w:tcPr>
            <w:tcW w:w="864" w:type="dxa"/>
            <w:tcBorders>
              <w:top w:val="single" w:sz="4" w:space="0" w:color="7F7F7F"/>
              <w:left w:val="single" w:sz="4" w:space="0" w:color="7F7F7F"/>
              <w:bottom w:val="single" w:sz="4" w:space="0" w:color="7F7F7F"/>
              <w:right w:val="single" w:sz="4" w:space="0" w:color="7F7F7F"/>
            </w:tcBorders>
          </w:tcPr>
          <w:p w14:paraId="196A6123" w14:textId="77777777" w:rsidR="00B63A85" w:rsidRDefault="00C0062E">
            <w:pPr>
              <w:pStyle w:val="TableParagraph"/>
              <w:spacing w:before="20" w:after="20" w:line="218" w:lineRule="auto"/>
              <w:ind w:left="40"/>
            </w:pPr>
            <w:r>
              <w:rPr>
                <w:sz w:val="17"/>
                <w:szCs w:val="17"/>
              </w:rPr>
              <w:t>26 %</w:t>
            </w:r>
          </w:p>
        </w:tc>
        <w:tc>
          <w:tcPr>
            <w:tcW w:w="1167" w:type="dxa"/>
            <w:tcBorders>
              <w:top w:val="single" w:sz="4" w:space="0" w:color="7F7F7F"/>
              <w:left w:val="single" w:sz="4" w:space="0" w:color="7F7F7F"/>
              <w:bottom w:val="single" w:sz="4" w:space="0" w:color="7F7F7F"/>
              <w:right w:val="single" w:sz="4" w:space="0" w:color="7F7F7F"/>
            </w:tcBorders>
          </w:tcPr>
          <w:p w14:paraId="211D31AA" w14:textId="77777777" w:rsidR="00B63A85" w:rsidRDefault="00C0062E">
            <w:pPr>
              <w:pStyle w:val="TableParagraph"/>
              <w:spacing w:before="20" w:after="20" w:line="218" w:lineRule="auto"/>
              <w:ind w:left="40"/>
            </w:pPr>
            <w:r>
              <w:rPr>
                <w:sz w:val="17"/>
                <w:szCs w:val="17"/>
              </w:rPr>
              <w:t>31 %</w:t>
            </w:r>
          </w:p>
        </w:tc>
        <w:tc>
          <w:tcPr>
            <w:tcW w:w="3069" w:type="dxa"/>
            <w:tcBorders>
              <w:top w:val="single" w:sz="4" w:space="0" w:color="7F7F7F"/>
              <w:left w:val="single" w:sz="4" w:space="0" w:color="7F7F7F"/>
              <w:bottom w:val="single" w:sz="4" w:space="0" w:color="7F7F7F"/>
              <w:right w:val="single" w:sz="4" w:space="0" w:color="7F7F7F"/>
            </w:tcBorders>
          </w:tcPr>
          <w:p w14:paraId="78071834" w14:textId="77777777" w:rsidR="00B63A85" w:rsidRDefault="00C0062E">
            <w:pPr>
              <w:pStyle w:val="TableParagraph"/>
              <w:spacing w:before="20" w:after="20" w:line="218" w:lineRule="auto"/>
              <w:ind w:left="40"/>
            </w:pPr>
            <w:r>
              <w:rPr>
                <w:sz w:val="17"/>
                <w:szCs w:val="17"/>
              </w:rPr>
              <w:t>Recordatorio estándar automático</w:t>
            </w:r>
          </w:p>
        </w:tc>
        <w:tc>
          <w:tcPr>
            <w:tcW w:w="1900" w:type="dxa"/>
            <w:tcBorders>
              <w:top w:val="single" w:sz="4" w:space="0" w:color="7F7F7F"/>
              <w:left w:val="single" w:sz="4" w:space="0" w:color="7F7F7F"/>
              <w:bottom w:val="single" w:sz="4" w:space="0" w:color="7F7F7F"/>
              <w:right w:val="single" w:sz="4" w:space="0" w:color="7F7F7F"/>
            </w:tcBorders>
          </w:tcPr>
          <w:p w14:paraId="43386DBD" w14:textId="77777777" w:rsidR="00B63A85" w:rsidRDefault="00C0062E">
            <w:pPr>
              <w:pStyle w:val="TableParagraph"/>
              <w:spacing w:before="20" w:after="20" w:line="218" w:lineRule="auto"/>
              <w:ind w:left="40"/>
            </w:pPr>
            <w:r>
              <w:rPr>
                <w:sz w:val="17"/>
                <w:szCs w:val="17"/>
              </w:rPr>
              <w:t>Service Reminder</w:t>
            </w:r>
          </w:p>
        </w:tc>
      </w:tr>
    </w:tbl>
    <w:p w14:paraId="58860F9E" w14:textId="77777777" w:rsidR="00B63A85" w:rsidRDefault="00B63A85">
      <w:pPr>
        <w:pStyle w:val="BodyText"/>
        <w:spacing w:before="20" w:line="264" w:lineRule="auto"/>
        <w:ind w:left="170" w:right="120"/>
        <w:jc w:val="both"/>
      </w:pPr>
      <w:r>
        <w:rPr>
          <w:b/>
        </w:rPr>
        <w:t xml:space="preserve">Acciones comerciales propuestas.</w:t>
      </w:r>
      <w:r>
        <w:rPr/>
        <w:t xml:space="preserve"> En Alto y Medio se aplican a los clientes que selecciona la segunda etapa. Las tasas de churn son las de cada segmento del modelo original.</w:t>
      </w:r>
    </w:p>
    <w:p w14:paraId="2A121510" w14:textId="77777777" w:rsidR="00B63A85" w:rsidRDefault="00C0062E">
      <w:pPr>
        <w:pStyle w:val="BodyText"/>
        <w:spacing w:before="90" w:line="264" w:lineRule="auto"/>
        <w:ind w:left="170" w:right="120"/>
        <w:jc w:val="both"/>
      </w:pPr>
      <w:r>
        <w:rPr>
          <w:b/>
          <w:bCs/>
          <w:i w:val="0"/>
          <w:iCs w:val="0"/>
          <w:sz w:val="20"/>
          <w:szCs w:val="20"/>
        </w:rPr>
        <w:t xml:space="preserve">Población al corte del 25/08/2026:</w:t>
      </w:r>
      <w:r>
        <w:rPr>
          <w:i w:val="0"/>
          <w:iCs w:val="0"/>
          <w:sz w:val="20"/>
          <w:szCs w:val="20"/>
        </w:rPr>
        <w:t xml:space="preserve"> 30.504 vehículos, 22.255 en ventana y 8.249 que entran en los próximos 30 días. Alto: 6.100; Medio: 9.152; Bajo: 15.252. A la segunda etapa pasan los 15.252 vehículos de Alto y Medio, que corresponden a 13.049 customer_id conocidos; los registros sin identificar quedan en la auditoría. La consolidación por cliente se hace después de evaluar cada vehículo, y los turnos agendados y demás restricciones sólo se aplican al elegir a quién contactar, sin modificar el scoring original.</w:t>
      </w:r>
    </w:p>
    <w:p w14:paraId="5E9440CD" w14:textId="77777777" w:rsidR="00B63A85" w:rsidRDefault="00C0062E">
      <w:pPr>
        <w:pStyle w:val="BodyText"/>
        <w:spacing w:before="90" w:line="264" w:lineRule="auto"/>
        <w:ind w:left="170" w:right="120"/>
        <w:jc w:val="both"/>
      </w:pPr>
      <w:r>
        <w:rPr>
          <w:i w:val="0"/>
          <w:iCs w:val="0"/>
          <w:sz w:val="20"/>
          <w:szCs w:val="20"/>
        </w:rPr>
        <w:t xml:space="preserve">Con la política por defecto, esa corrida deja 7.966 clientes habilitados: 3.000 seleccionados y 4.966 en espera. Otros 2.584 quedan en Revisar, 2.096 en Sin margen y 403 en Con turno, y los 93 vehículos sin customer_id quedan sólo en la auditoría. Son cantidades operativas de ese corte, no resultados de una campaña, y cambian si se carga otro dataset o se ajusta la política.</w:t>
      </w:r>
    </w:p>
    <w:p w14:paraId="12BED989" w14:textId="77777777" w:rsidR="00B63A85" w:rsidRDefault="00C0062E">
      <w:pPr>
        <w:keepNext/>
        <w:spacing w:before="120"/>
        <w:ind w:left="170"/>
        <w:jc w:val="center"/>
      </w:pPr>
      <w:r>
        <w:rPr>
          <w:noProof/>
        </w:rPr>
        <w:lastRenderedPageBreak/>
        <w:drawing>
          <wp:inline distT="0" distB="0" distL="0" distR="0" wp14:anchorId="4A4E5B80" wp14:editId="3B190C40">
            <wp:extent cx="4826000" cy="2542540"/>
            <wp:effectExtent l="0" t="0" r="0" b="0"/>
            <wp:docPr id="9" nam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a 8"/>
                    <pic:cNvPicPr>
                      <a:picLocks noChangeAspect="1" noChangeArrowheads="1"/>
                    </pic:cNvPicPr>
                  </pic:nvPicPr>
                  <pic:blipFill>
                    <a:blip r:embed="rId25"/>
                    <a:stretch>
                      <a:fillRect/>
                    </a:stretch>
                  </pic:blipFill>
                  <pic:spPr bwMode="auto">
                    <a:xfrm>
                      <a:off x="0" y="0"/>
                      <a:ext cx="4826000" cy="2542540"/>
                    </a:xfrm>
                    <a:prstGeom prst="rect">
                      <a:avLst/>
                    </a:prstGeom>
                  </pic:spPr>
                </pic:pic>
              </a:graphicData>
            </a:graphic>
          </wp:inline>
        </w:drawing>
      </w:r>
    </w:p>
    <w:p w14:paraId="3EAC24A0" w14:textId="77777777" w:rsidR="00B63A85" w:rsidRDefault="00C0062E">
      <w:pPr>
        <w:pStyle w:val="Caption"/>
        <w:spacing w:before="40" w:after="160"/>
        <w:ind w:left="170" w:right="120"/>
        <w:jc w:val="center"/>
      </w:pPr>
      <w:r>
        <w:rPr>
          <w:sz w:val="16"/>
          <w:szCs w:val="16"/>
        </w:rPr>
        <w:t>Figura 8. Vehículos que entran en ventana por mes: dimensiona la capacidad de contacto necesaria.</w:t>
      </w:r>
    </w:p>
    <w:p w14:paraId="6D05EF61" w14:textId="77777777" w:rsidR="00B63A85" w:rsidRDefault="00C0062E">
      <w:pPr>
        <w:pStyle w:val="BodyText"/>
        <w:spacing w:before="90" w:line="264" w:lineRule="auto"/>
        <w:ind w:left="170" w:right="120"/>
        <w:jc w:val="both"/>
      </w:pPr>
      <w:r>
        <w:rPr>
          <w:i w:val="0"/>
          <w:iCs w:val="0"/>
          <w:sz w:val="20"/>
          <w:szCs w:val="20"/>
        </w:rPr>
        <w:t xml:space="preserve">Salida del scoring y de la segunda etapa (formato de integración):</w:t>
      </w:r>
    </w:p>
    <w:tbl>
      <w:tblPr>
        <w:tblW w:w="8600" w:type="dxa"/>
        <w:tblInd w:w="170" w:type="dxa"/>
        <w:tblLayout w:type="fixed"/>
        <w:tblCellMar>
          <w:left w:w="60" w:type="dxa"/>
          <w:right w:w="60" w:type="dxa"/>
        </w:tblCellMar>
        <w:tblLook w:val="04A0" w:firstRow="1" w:lastRow="0" w:firstColumn="1" w:lastColumn="0" w:noHBand="0" w:noVBand="1"/>
      </w:tblPr>
      <w:tblGrid>
        <w:gridCol w:w="4301"/>
        <w:gridCol w:w="4299"/>
      </w:tblGrid>
      <w:tr w:rsidR="00B63A85" w14:paraId="1F9E9F5F" w14:textId="77777777">
        <w:trPr>
          <w:cantSplit/>
          <w:tblHeader/>
        </w:trPr>
        <w:tc>
          <w:tcPr>
            <w:tcW w:w="4300" w:type="dxa"/>
            <w:tcBorders>
              <w:top w:val="single" w:sz="4" w:space="0" w:color="7F7F7F"/>
              <w:left w:val="single" w:sz="4" w:space="0" w:color="7F7F7F"/>
              <w:bottom w:val="single" w:sz="4" w:space="0" w:color="7F7F7F"/>
              <w:right w:val="single" w:sz="4" w:space="0" w:color="7F7F7F"/>
            </w:tcBorders>
            <w:shd w:val="clear" w:color="auto" w:fill="EDEDED"/>
          </w:tcPr>
          <w:p w14:paraId="17BD539A" w14:textId="77777777" w:rsidR="00B63A85" w:rsidRDefault="00C0062E">
            <w:pPr>
              <w:pStyle w:val="TableParagraph"/>
              <w:keepNext/>
              <w:spacing w:before="20" w:after="20" w:line="218" w:lineRule="auto"/>
              <w:ind w:left="40"/>
            </w:pPr>
            <w:r>
              <w:rPr>
                <w:b/>
                <w:bCs/>
                <w:sz w:val="17"/>
                <w:szCs w:val="17"/>
              </w:rPr>
              <w:t>Campo</w:t>
            </w:r>
          </w:p>
        </w:tc>
        <w:tc>
          <w:tcPr>
            <w:tcW w:w="4299" w:type="dxa"/>
            <w:tcBorders>
              <w:top w:val="single" w:sz="4" w:space="0" w:color="7F7F7F"/>
              <w:left w:val="single" w:sz="4" w:space="0" w:color="7F7F7F"/>
              <w:bottom w:val="single" w:sz="4" w:space="0" w:color="7F7F7F"/>
              <w:right w:val="single" w:sz="4" w:space="0" w:color="7F7F7F"/>
            </w:tcBorders>
            <w:shd w:val="clear" w:color="auto" w:fill="EDEDED"/>
          </w:tcPr>
          <w:p w14:paraId="553CFC0F" w14:textId="77777777" w:rsidR="00B63A85" w:rsidRDefault="00C0062E">
            <w:pPr>
              <w:pStyle w:val="TableParagraph"/>
              <w:keepNext/>
              <w:spacing w:before="20" w:after="20" w:line="218" w:lineRule="auto"/>
              <w:ind w:left="40"/>
            </w:pPr>
            <w:r>
              <w:rPr>
                <w:b/>
                <w:bCs/>
                <w:sz w:val="17"/>
                <w:szCs w:val="17"/>
              </w:rPr>
              <w:t>Contenido</w:t>
            </w:r>
          </w:p>
        </w:tc>
      </w:tr>
      <w:tr w:rsidR="00B63A85" w14:paraId="14D98608" w14:textId="77777777">
        <w:trPr>
          <w:cantSplit/>
        </w:trPr>
        <w:tc>
          <w:tcPr>
            <w:tcW w:w="4300" w:type="dxa"/>
            <w:tcBorders>
              <w:top w:val="single" w:sz="4" w:space="0" w:color="7F7F7F"/>
              <w:left w:val="single" w:sz="4" w:space="0" w:color="7F7F7F"/>
              <w:bottom w:val="single" w:sz="4" w:space="0" w:color="7F7F7F"/>
              <w:right w:val="single" w:sz="4" w:space="0" w:color="7F7F7F"/>
            </w:tcBorders>
          </w:tcPr>
          <w:p w14:paraId="2354C3C6" w14:textId="77777777" w:rsidR="00B63A85" w:rsidRDefault="00C0062E">
            <w:pPr>
              <w:pStyle w:val="TableParagraph"/>
              <w:spacing w:before="20" w:after="20" w:line="218" w:lineRule="auto"/>
              <w:ind w:left="40"/>
            </w:pPr>
            <w:r>
              <w:rPr>
                <w:sz w:val="17"/>
                <w:szCs w:val="17"/>
              </w:rPr>
              <w:t>customer_id, vehicle_id</w:t>
            </w:r>
          </w:p>
        </w:tc>
        <w:tc>
          <w:tcPr>
            <w:tcW w:w="4299" w:type="dxa"/>
            <w:tcBorders>
              <w:top w:val="single" w:sz="4" w:space="0" w:color="7F7F7F"/>
              <w:left w:val="single" w:sz="4" w:space="0" w:color="7F7F7F"/>
              <w:bottom w:val="single" w:sz="4" w:space="0" w:color="7F7F7F"/>
              <w:right w:val="single" w:sz="4" w:space="0" w:color="7F7F7F"/>
            </w:tcBorders>
          </w:tcPr>
          <w:p w14:paraId="05E7489E" w14:textId="77777777" w:rsidR="00B63A85" w:rsidRDefault="00C0062E">
            <w:pPr>
              <w:pStyle w:val="TableParagraph"/>
              <w:spacing w:before="20" w:after="20" w:line="218" w:lineRule="auto"/>
              <w:ind w:left="40"/>
            </w:pPr>
            <w:r>
              <w:rPr>
                <w:sz w:val="17"/>
                <w:szCs w:val="17"/>
              </w:rPr>
              <w:t>identificadores seudonimizados</w:t>
            </w:r>
          </w:p>
        </w:tc>
      </w:tr>
      <w:tr w:rsidR="00B63A85" w14:paraId="04A80059" w14:textId="77777777">
        <w:trPr>
          <w:cantSplit/>
        </w:trPr>
        <w:tc>
          <w:tcPr>
            <w:tcW w:w="4300" w:type="dxa"/>
            <w:tcBorders>
              <w:top w:val="single" w:sz="4" w:space="0" w:color="7F7F7F"/>
              <w:left w:val="single" w:sz="4" w:space="0" w:color="7F7F7F"/>
              <w:bottom w:val="single" w:sz="4" w:space="0" w:color="7F7F7F"/>
              <w:right w:val="single" w:sz="4" w:space="0" w:color="7F7F7F"/>
            </w:tcBorders>
          </w:tcPr>
          <w:p w14:paraId="77F78FF5" w14:textId="77777777" w:rsidR="00B63A85" w:rsidRDefault="00C0062E">
            <w:pPr>
              <w:pStyle w:val="TableParagraph"/>
              <w:spacing w:before="20" w:after="20" w:line="218" w:lineRule="auto"/>
              <w:ind w:left="40"/>
            </w:pPr>
            <w:r>
              <w:rPr>
                <w:sz w:val="17"/>
                <w:szCs w:val="17"/>
              </w:rPr>
              <w:t>fecha_scoring, fecha_apertura_ventana, vencimiento_estimado, cierre_horizonte, dias_restantes_horizonte</w:t>
            </w:r>
          </w:p>
        </w:tc>
        <w:tc>
          <w:tcPr>
            <w:tcW w:w="4299" w:type="dxa"/>
            <w:tcBorders>
              <w:top w:val="single" w:sz="4" w:space="0" w:color="7F7F7F"/>
              <w:left w:val="single" w:sz="4" w:space="0" w:color="7F7F7F"/>
              <w:bottom w:val="single" w:sz="4" w:space="0" w:color="7F7F7F"/>
              <w:right w:val="single" w:sz="4" w:space="0" w:color="7F7F7F"/>
            </w:tcBorders>
          </w:tcPr>
          <w:p w14:paraId="6F5AACE7" w14:textId="77777777" w:rsidR="00B63A85" w:rsidRDefault="00C0062E">
            <w:pPr>
              <w:pStyle w:val="TableParagraph"/>
              <w:spacing w:before="20" w:after="20" w:line="218" w:lineRule="auto"/>
              <w:ind w:left="40"/>
            </w:pPr>
            <w:r>
              <w:rPr>
                <w:sz w:val="17"/>
                <w:szCs w:val="17"/>
              </w:rPr>
              <w:t>geometría de la ventana</w:t>
            </w:r>
          </w:p>
        </w:tc>
      </w:tr>
      <w:tr w:rsidR="00B63A85" w14:paraId="3D259A58" w14:textId="77777777">
        <w:trPr>
          <w:cantSplit/>
        </w:trPr>
        <w:tc>
          <w:tcPr>
            <w:tcW w:w="4300" w:type="dxa"/>
            <w:tcBorders>
              <w:top w:val="single" w:sz="4" w:space="0" w:color="7F7F7F"/>
              <w:left w:val="single" w:sz="4" w:space="0" w:color="7F7F7F"/>
              <w:bottom w:val="single" w:sz="4" w:space="0" w:color="7F7F7F"/>
              <w:right w:val="single" w:sz="4" w:space="0" w:color="7F7F7F"/>
            </w:tcBorders>
          </w:tcPr>
          <w:p w14:paraId="3C22157F" w14:textId="77777777" w:rsidR="00B63A85" w:rsidRDefault="00C0062E">
            <w:pPr>
              <w:pStyle w:val="TableParagraph"/>
              <w:spacing w:before="20" w:after="20" w:line="218" w:lineRule="auto"/>
              <w:ind w:left="40"/>
            </w:pPr>
            <w:r>
              <w:rPr>
                <w:sz w:val="17"/>
                <w:szCs w:val="17"/>
              </w:rPr>
              <w:t>prob_churn</w:t>
            </w:r>
          </w:p>
        </w:tc>
        <w:tc>
          <w:tcPr>
            <w:tcW w:w="4299" w:type="dxa"/>
            <w:tcBorders>
              <w:top w:val="single" w:sz="4" w:space="0" w:color="7F7F7F"/>
              <w:left w:val="single" w:sz="4" w:space="0" w:color="7F7F7F"/>
              <w:bottom w:val="single" w:sz="4" w:space="0" w:color="7F7F7F"/>
              <w:right w:val="single" w:sz="4" w:space="0" w:color="7F7F7F"/>
            </w:tcBorders>
          </w:tcPr>
          <w:p w14:paraId="029F87B3" w14:textId="77777777" w:rsidR="00B63A85" w:rsidRDefault="00C0062E">
            <w:pPr>
              <w:pStyle w:val="TableParagraph"/>
              <w:spacing w:before="20" w:after="20" w:line="218" w:lineRule="auto"/>
              <w:ind w:left="40"/>
            </w:pPr>
            <w:r>
              <w:rPr>
                <w:sz w:val="17"/>
                <w:szCs w:val="17"/>
              </w:rPr>
              <w:t>probabilidad calibrada de abandono (0 a 1); no es probabilidad de retorno por contacto</w:t>
            </w:r>
          </w:p>
        </w:tc>
      </w:tr>
      <w:tr w:rsidR="00B63A85" w14:paraId="63884B57" w14:textId="77777777">
        <w:trPr>
          <w:cantSplit/>
        </w:trPr>
        <w:tc>
          <w:tcPr>
            <w:tcW w:w="4300" w:type="dxa"/>
            <w:tcBorders>
              <w:top w:val="single" w:sz="4" w:space="0" w:color="7F7F7F"/>
              <w:left w:val="single" w:sz="4" w:space="0" w:color="7F7F7F"/>
              <w:bottom w:val="single" w:sz="4" w:space="0" w:color="7F7F7F"/>
              <w:right w:val="single" w:sz="4" w:space="0" w:color="7F7F7F"/>
            </w:tcBorders>
          </w:tcPr>
          <w:p w14:paraId="669F0446" w14:textId="77777777" w:rsidR="00B63A85" w:rsidRDefault="00C0062E">
            <w:pPr>
              <w:pStyle w:val="TableParagraph"/>
              <w:spacing w:before="20" w:after="20" w:line="218" w:lineRule="auto"/>
              <w:ind w:left="40"/>
            </w:pPr>
            <w:r>
              <w:rPr>
                <w:sz w:val="17"/>
                <w:szCs w:val="17"/>
              </w:rPr>
              <w:t>segmento</w:t>
            </w:r>
          </w:p>
        </w:tc>
        <w:tc>
          <w:tcPr>
            <w:tcW w:w="4299" w:type="dxa"/>
            <w:tcBorders>
              <w:top w:val="single" w:sz="4" w:space="0" w:color="7F7F7F"/>
              <w:left w:val="single" w:sz="4" w:space="0" w:color="7F7F7F"/>
              <w:bottom w:val="single" w:sz="4" w:space="0" w:color="7F7F7F"/>
              <w:right w:val="single" w:sz="4" w:space="0" w:color="7F7F7F"/>
            </w:tcBorders>
          </w:tcPr>
          <w:p w14:paraId="7D73EE42" w14:textId="77777777" w:rsidR="00B63A85" w:rsidRDefault="00C0062E">
            <w:pPr>
              <w:pStyle w:val="TableParagraph"/>
              <w:spacing w:before="20" w:after="20" w:line="218" w:lineRule="auto"/>
              <w:ind w:left="40"/>
            </w:pPr>
            <w:r>
              <w:rPr>
                <w:sz w:val="17"/>
                <w:szCs w:val="17"/>
              </w:rPr>
              <w:t>Alto / Medio / Bajo</w:t>
            </w:r>
          </w:p>
        </w:tc>
      </w:tr>
      <w:tr w:rsidR="00B63A85" w14:paraId="2B75503E" w14:textId="77777777">
        <w:trPr>
          <w:cantSplit/>
        </w:trPr>
        <w:tc>
          <w:tcPr>
            <w:tcW w:w="4300" w:type="dxa"/>
            <w:tcBorders>
              <w:top w:val="single" w:sz="4" w:space="0" w:color="7F7F7F"/>
              <w:left w:val="single" w:sz="4" w:space="0" w:color="7F7F7F"/>
              <w:bottom w:val="single" w:sz="4" w:space="0" w:color="7F7F7F"/>
              <w:right w:val="single" w:sz="4" w:space="0" w:color="7F7F7F"/>
            </w:tcBorders>
          </w:tcPr>
          <w:p w14:paraId="7EBF4210" w14:textId="77777777" w:rsidR="00B63A85" w:rsidRDefault="00C0062E">
            <w:pPr>
              <w:pStyle w:val="TableParagraph"/>
              <w:spacing w:before="20" w:after="20" w:line="218" w:lineRule="auto"/>
              <w:ind w:left="40"/>
            </w:pPr>
            <w:r>
              <w:rPr>
                <w:sz w:val="17"/>
                <w:szCs w:val="17"/>
              </w:rPr>
              <w:t>driver_1 a driver_3</w:t>
            </w:r>
          </w:p>
        </w:tc>
        <w:tc>
          <w:tcPr>
            <w:tcW w:w="4299" w:type="dxa"/>
            <w:tcBorders>
              <w:top w:val="single" w:sz="4" w:space="0" w:color="7F7F7F"/>
              <w:left w:val="single" w:sz="4" w:space="0" w:color="7F7F7F"/>
              <w:bottom w:val="single" w:sz="4" w:space="0" w:color="7F7F7F"/>
              <w:right w:val="single" w:sz="4" w:space="0" w:color="7F7F7F"/>
            </w:tcBorders>
          </w:tcPr>
          <w:p w14:paraId="0A564A84" w14:textId="77777777" w:rsidR="00B63A85" w:rsidRDefault="00C0062E">
            <w:pPr>
              <w:pStyle w:val="TableParagraph"/>
              <w:spacing w:before="20" w:after="20" w:line="218" w:lineRule="auto"/>
              <w:ind w:left="40"/>
            </w:pPr>
            <w:r>
              <w:rPr>
                <w:sz w:val="17"/>
                <w:szCs w:val="17"/>
              </w:rPr>
              <w:t>tres motivos de mayor magnitud con dirección de riesgo; driver_1_shap a driver_3_shap guardan el aporte en log-odds del modelo base</w:t>
            </w:r>
          </w:p>
        </w:tc>
      </w:tr>
      <w:tr w:rsidR="00B63A85" w14:paraId="45A8DB10" w14:textId="77777777">
        <w:trPr>
          <w:cantSplit/>
        </w:trPr>
        <w:tc>
          <w:tcPr>
            <w:tcW w:w="4300" w:type="dxa"/>
            <w:tcBorders>
              <w:top w:val="single" w:sz="4" w:space="0" w:color="7F7F7F"/>
              <w:left w:val="single" w:sz="4" w:space="0" w:color="7F7F7F"/>
              <w:bottom w:val="single" w:sz="4" w:space="0" w:color="7F7F7F"/>
              <w:right w:val="single" w:sz="4" w:space="0" w:color="7F7F7F"/>
            </w:tcBorders>
          </w:tcPr>
          <w:p w14:paraId="4E942D65" w14:textId="77777777" w:rsidR="00B63A85" w:rsidRDefault="00C0062E">
            <w:pPr>
              <w:pStyle w:val="TableParagraph"/>
              <w:spacing w:before="20" w:after="20" w:line="218" w:lineRule="auto"/>
              <w:ind w:left="40"/>
            </w:pPr>
            <w:r>
              <w:rPr>
                <w:sz w:val="17"/>
                <w:szCs w:val="17"/>
              </w:rPr>
              <w:t>tiene_turno_agendado, fecha_turno_agendado, prioridad</w:t>
            </w:r>
          </w:p>
        </w:tc>
        <w:tc>
          <w:tcPr>
            <w:tcW w:w="4299" w:type="dxa"/>
            <w:tcBorders>
              <w:top w:val="single" w:sz="4" w:space="0" w:color="7F7F7F"/>
              <w:left w:val="single" w:sz="4" w:space="0" w:color="7F7F7F"/>
              <w:bottom w:val="single" w:sz="4" w:space="0" w:color="7F7F7F"/>
              <w:right w:val="single" w:sz="4" w:space="0" w:color="7F7F7F"/>
            </w:tcBorders>
          </w:tcPr>
          <w:p w14:paraId="259E517C" w14:textId="77777777" w:rsidR="00B63A85" w:rsidRDefault="00C0062E">
            <w:pPr>
              <w:pStyle w:val="TableParagraph"/>
              <w:spacing w:before="20" w:after="20" w:line="218" w:lineRule="auto"/>
              <w:ind w:left="40"/>
            </w:pPr>
            <w:r>
              <w:rPr>
                <w:sz w:val="17"/>
                <w:szCs w:val="17"/>
              </w:rPr>
              <w:t>reglas operativas y ranking</w:t>
            </w:r>
          </w:p>
        </w:tc>
      </w:tr>
      <w:tr w:rsidR="00B63A85" w14:paraId="5A146CF4" w14:textId="77777777">
        <w:trPr>
          <w:cantSplit/>
        </w:trPr>
        <w:tc>
          <w:tcPr>
            <w:tcW w:w="4300" w:type="dxa"/>
            <w:tcBorders>
              <w:top w:val="single" w:sz="4" w:space="0" w:color="7F7F7F"/>
              <w:left w:val="single" w:sz="4" w:space="0" w:color="7F7F7F"/>
              <w:bottom w:val="single" w:sz="4" w:space="0" w:color="7F7F7F"/>
              <w:right w:val="single" w:sz="4" w:space="0" w:color="7F7F7F"/>
            </w:tcBorders>
          </w:tcPr>
          <w:p w14:paraId="79E8C68E" w14:textId="77777777" w:rsidR="00B63A85" w:rsidRDefault="00C0062E">
            <w:pPr>
              <w:pStyle w:val="TableParagraph"/>
              <w:spacing w:before="20" w:after="20" w:line="218" w:lineRule="auto"/>
              <w:ind w:left="40"/>
            </w:pPr>
            <w:r>
              <w:rPr>
                <w:sz w:val="17"/>
                <w:szCs w:val="17"/>
              </w:rPr>
              <w:t>atributos de contexto</w:t>
            </w:r>
          </w:p>
        </w:tc>
        <w:tc>
          <w:tcPr>
            <w:tcW w:w="4299" w:type="dxa"/>
            <w:tcBorders>
              <w:top w:val="single" w:sz="4" w:space="0" w:color="7F7F7F"/>
              <w:left w:val="single" w:sz="4" w:space="0" w:color="7F7F7F"/>
              <w:bottom w:val="single" w:sz="4" w:space="0" w:color="7F7F7F"/>
              <w:right w:val="single" w:sz="4" w:space="0" w:color="7F7F7F"/>
            </w:tcBorders>
          </w:tcPr>
          <w:p w14:paraId="72163C4E" w14:textId="77777777" w:rsidR="00B63A85" w:rsidRDefault="00C0062E">
            <w:pPr>
              <w:pStyle w:val="TableParagraph"/>
              <w:spacing w:before="20" w:after="20" w:line="218" w:lineRule="auto"/>
              <w:ind w:left="40"/>
            </w:pPr>
            <w:r>
              <w:rPr>
                <w:sz w:val="17"/>
                <w:szCs w:val="17"/>
              </w:rPr>
              <w:t>generación, año modelo, unidad de negocio, flota, último canal, concesionario del último service, km/año, días desde el último service</w:t>
            </w:r>
          </w:p>
        </w:tc>
      </w:tr>
      <w:tr w:rsidR="00B63A85" w14:paraId="765A8147" w14:textId="77777777">
        <w:trPr>
          <w:cantSplit/>
        </w:trPr>
        <w:tc>
          <w:tcPr>
            <w:tcW w:w="4300" w:type="dxa"/>
            <w:tcBorders>
              <w:top w:val="single" w:sz="4" w:space="0" w:color="7F7F7F"/>
              <w:left w:val="single" w:sz="4" w:space="0" w:color="7F7F7F"/>
              <w:bottom w:val="single" w:sz="4" w:space="0" w:color="7F7F7F"/>
              <w:right w:val="single" w:sz="4" w:space="0" w:color="7F7F7F"/>
            </w:tcBorders>
          </w:tcPr>
          <w:p w14:paraId="7886E065" w14:textId="77777777" w:rsidR="00B63A85" w:rsidRDefault="00C0062E">
            <w:pPr>
              <w:pStyle w:val="TableParagraph"/>
              <w:spacing w:before="20" w:after="20" w:line="218" w:lineRule="auto"/>
              <w:ind w:left="40"/>
            </w:pPr>
            <w:r>
              <w:rPr>
                <w:sz w:val="17"/>
                <w:szCs w:val="17"/>
              </w:rPr>
              <w:t>estado_contacto, orden_contacto, seleccionado, en_espera</w:t>
            </w:r>
          </w:p>
        </w:tc>
        <w:tc>
          <w:tcPr>
            <w:tcW w:w="4299" w:type="dxa"/>
            <w:tcBorders>
              <w:top w:val="single" w:sz="4" w:space="0" w:color="7F7F7F"/>
              <w:left w:val="single" w:sz="4" w:space="0" w:color="7F7F7F"/>
              <w:bottom w:val="single" w:sz="4" w:space="0" w:color="7F7F7F"/>
              <w:right w:val="single" w:sz="4" w:space="0" w:color="7F7F7F"/>
            </w:tcBorders>
          </w:tcPr>
          <w:p w14:paraId="695B806B" w14:textId="77777777" w:rsidR="00B63A85" w:rsidRDefault="00C0062E">
            <w:pPr>
              <w:pStyle w:val="TableParagraph"/>
              <w:spacing w:before="20" w:after="20" w:line="218" w:lineRule="auto"/>
              <w:ind w:left="40"/>
            </w:pPr>
            <w:r>
              <w:rPr>
                <w:sz w:val="17"/>
                <w:szCs w:val="17"/>
              </w:rPr>
              <w:t>estado operativo, orden por cliente, selección dentro del cupo y lista de espera de la corrida</w:t>
            </w:r>
          </w:p>
        </w:tc>
      </w:tr>
      <w:tr w:rsidR="00B63A85" w14:paraId="68B6EB9F" w14:textId="77777777">
        <w:trPr>
          <w:cantSplit/>
        </w:trPr>
        <w:tc>
          <w:tcPr>
            <w:tcW w:w="4300" w:type="dxa"/>
            <w:tcBorders>
              <w:top w:val="single" w:sz="4" w:space="0" w:color="7F7F7F"/>
              <w:left w:val="single" w:sz="4" w:space="0" w:color="7F7F7F"/>
              <w:bottom w:val="single" w:sz="4" w:space="0" w:color="7F7F7F"/>
              <w:right w:val="single" w:sz="4" w:space="0" w:color="7F7F7F"/>
            </w:tcBorders>
          </w:tcPr>
          <w:p w14:paraId="091E7D07" w14:textId="77777777" w:rsidR="00B63A85" w:rsidRDefault="00C0062E">
            <w:pPr>
              <w:pStyle w:val="TableParagraph"/>
              <w:spacing w:before="20" w:after="20" w:line="218" w:lineRule="auto"/>
              <w:ind w:left="40"/>
            </w:pPr>
            <w:r>
              <w:rPr>
                <w:sz w:val="17"/>
                <w:szCs w:val="17"/>
              </w:rPr>
              <w:t>motivos_operativos, representante, n_vehiculos_cliente, vehiculos_cliente, grupos_cliente</w:t>
            </w:r>
          </w:p>
        </w:tc>
        <w:tc>
          <w:tcPr>
            <w:tcW w:w="4299" w:type="dxa"/>
            <w:tcBorders>
              <w:top w:val="single" w:sz="4" w:space="0" w:color="7F7F7F"/>
              <w:left w:val="single" w:sz="4" w:space="0" w:color="7F7F7F"/>
              <w:bottom w:val="single" w:sz="4" w:space="0" w:color="7F7F7F"/>
              <w:right w:val="single" w:sz="4" w:space="0" w:color="7F7F7F"/>
            </w:tcBorders>
          </w:tcPr>
          <w:p w14:paraId="71AF2F4F" w14:textId="77777777" w:rsidR="00B63A85" w:rsidRDefault="00C0062E">
            <w:pPr>
              <w:pStyle w:val="TableParagraph"/>
              <w:spacing w:before="20" w:after="20" w:line="218" w:lineRule="auto"/>
              <w:ind w:left="40"/>
            </w:pPr>
            <w:r>
              <w:rPr>
                <w:sz w:val="17"/>
                <w:szCs w:val="17"/>
              </w:rPr>
              <w:t>razones de la política, representante y unidades y grupos asociados al customer_id dentro de Alto y Medio</w:t>
            </w:r>
          </w:p>
        </w:tc>
      </w:tr>
    </w:tbl>
    <w:p w14:paraId="5CA4A6C7" w14:textId="77777777" w:rsidR="00B63A85" w:rsidRDefault="00B63A85">
      <w:pPr>
        <w:pStyle w:val="BodyText"/>
        <w:spacing w:before="20" w:line="264" w:lineRule="auto"/>
        <w:ind w:left="170" w:right="120"/>
        <w:jc w:val="both"/>
      </w:pPr>
    </w:p>
    <w:p w14:paraId="339F0DD7" w14:textId="77777777" w:rsidR="00B63A85" w:rsidRDefault="00C0062E">
      <w:pPr>
        <w:pStyle w:val="Heading2"/>
        <w:keepNext/>
        <w:spacing w:before="280"/>
        <w:ind w:left="170" w:firstLine="0"/>
      </w:pPr>
      <w:r>
        <w:t>Anexo G. Recompra observable</w:t>
      </w:r>
    </w:p>
    <w:p w14:paraId="77E2BA02" w14:textId="77777777" w:rsidR="00B63A85" w:rsidRDefault="00C0062E">
      <w:pPr>
        <w:pStyle w:val="BodyText"/>
        <w:spacing w:before="90" w:line="264" w:lineRule="auto"/>
        <w:ind w:left="170" w:right="120"/>
        <w:jc w:val="both"/>
      </w:pPr>
      <w:r>
        <w:rPr>
          <w:i w:val="0"/>
          <w:iCs w:val="0"/>
          <w:sz w:val="20"/>
          <w:szCs w:val="20"/>
        </w:rPr>
        <w:t xml:space="preserve">El customer_id se mantiene entre ventas y entre ventas y agenda, así que en el dataset se puede ver la recompra Ranger→Ranger. 12.239 ventas de 2024-26 (20,6 %) son de compradores que ya usaban otra Ranger, entregada al menos un año antes y registrada en la agenda antes de la compra (6.192 compradores, 4.389 personas físicas). De los 33.391 dueños de Ranger anteriores a 2024 que aparecen en la agenda en el primer semestre de 2024, el 6,4 % compró una Ranger 0 km en los 12 meses siguientes y el 11,2 % en los 24. Con esos casos positivos se puede entrenar un segundo modelo, complementario, que mida la relación entre service y recompra.</w:t>
      </w:r>
    </w:p>
    <w:p w14:paraId="5006D4D0" w14:textId="77777777" w:rsidR="00B63A85" w:rsidRDefault="00C0062E">
      <w:pPr>
        <w:pStyle w:val="Heading2"/>
        <w:keepNext/>
        <w:spacing w:before="280"/>
        <w:ind w:left="170" w:firstLine="0"/>
      </w:pPr>
      <w:r>
        <w:lastRenderedPageBreak/>
        <w:t>Anexo H. Impacto por capacidad de contacto</w:t>
      </w:r>
    </w:p>
    <w:p w14:paraId="311F1398" w14:textId="77777777" w:rsidR="00B63A85" w:rsidRDefault="00C0062E">
      <w:pPr>
        <w:pStyle w:val="BodyText"/>
        <w:keepLines/>
        <w:spacing w:before="90" w:line="264" w:lineRule="auto"/>
        <w:ind w:left="170" w:right="120"/>
        <w:jc w:val="both"/>
      </w:pPr>
      <w:r>
        <w:rPr>
          <w:i w:val="0"/>
          <w:iCs w:val="0"/>
          <w:sz w:val="20"/>
          <w:szCs w:val="20"/>
        </w:rPr>
        <w:t xml:space="preserve">Supuestos de la simulación de la primera etapa, declarados y editables: un contacto recupera al 15 % de quienes iban a abandonar, un service retenido vale USD 250 y un contacto personal cuesta USD 3. No salen de campañas observadas. La segunda etapa todavía no tiene métricas de retención incremental; para eso hace falta un piloto con grupo de control.</w:t>
      </w:r>
    </w:p>
    <w:tbl>
      <w:tblPr>
        <w:tblW w:w="8598" w:type="dxa"/>
        <w:tblInd w:w="170" w:type="dxa"/>
        <w:tblLayout w:type="fixed"/>
        <w:tblCellMar>
          <w:left w:w="60" w:type="dxa"/>
          <w:right w:w="60" w:type="dxa"/>
        </w:tblCellMar>
        <w:tblLook w:val="04A0" w:firstRow="1" w:lastRow="0" w:firstColumn="1" w:lastColumn="0" w:noHBand="0" w:noVBand="1"/>
      </w:tblPr>
      <w:tblGrid>
        <w:gridCol w:w="1091"/>
        <w:gridCol w:w="1091"/>
        <w:gridCol w:w="2502"/>
        <w:gridCol w:w="2117"/>
        <w:gridCol w:w="1797"/>
      </w:tblGrid>
      <w:tr w:rsidR="00B63A85" w14:paraId="0907B850" w14:textId="77777777">
        <w:trPr>
          <w:cantSplit/>
          <w:tblHeader/>
        </w:trPr>
        <w:tc>
          <w:tcPr>
            <w:tcW w:w="1091" w:type="dxa"/>
            <w:tcBorders>
              <w:top w:val="single" w:sz="4" w:space="0" w:color="7F7F7F"/>
              <w:left w:val="single" w:sz="4" w:space="0" w:color="7F7F7F"/>
              <w:bottom w:val="single" w:sz="4" w:space="0" w:color="7F7F7F"/>
              <w:right w:val="single" w:sz="4" w:space="0" w:color="7F7F7F"/>
            </w:tcBorders>
            <w:shd w:val="clear" w:color="auto" w:fill="EDEDED"/>
          </w:tcPr>
          <w:p w14:paraId="103F7481" w14:textId="77777777" w:rsidR="00B63A85" w:rsidRDefault="00C0062E">
            <w:pPr>
              <w:pStyle w:val="TableParagraph"/>
              <w:keepNext/>
              <w:spacing w:before="20" w:after="20" w:line="218" w:lineRule="auto"/>
              <w:ind w:left="40"/>
            </w:pPr>
            <w:r>
              <w:rPr>
                <w:b/>
                <w:bCs/>
                <w:sz w:val="17"/>
                <w:szCs w:val="17"/>
              </w:rPr>
              <w:t>Capacidad</w:t>
            </w:r>
          </w:p>
        </w:tc>
        <w:tc>
          <w:tcPr>
            <w:tcW w:w="1091" w:type="dxa"/>
            <w:tcBorders>
              <w:top w:val="single" w:sz="4" w:space="0" w:color="7F7F7F"/>
              <w:left w:val="single" w:sz="4" w:space="0" w:color="7F7F7F"/>
              <w:bottom w:val="single" w:sz="4" w:space="0" w:color="7F7F7F"/>
              <w:right w:val="single" w:sz="4" w:space="0" w:color="7F7F7F"/>
            </w:tcBorders>
            <w:shd w:val="clear" w:color="auto" w:fill="EDEDED"/>
          </w:tcPr>
          <w:p w14:paraId="6D653ADF" w14:textId="77777777" w:rsidR="00B63A85" w:rsidRDefault="00C0062E">
            <w:pPr>
              <w:pStyle w:val="TableParagraph"/>
              <w:keepNext/>
              <w:spacing w:before="20" w:after="20" w:line="218" w:lineRule="auto"/>
              <w:ind w:left="40"/>
            </w:pPr>
            <w:r>
              <w:rPr>
                <w:b/>
                <w:bCs/>
                <w:sz w:val="17"/>
                <w:szCs w:val="17"/>
              </w:rPr>
              <w:t>Contactos</w:t>
            </w:r>
          </w:p>
        </w:tc>
        <w:tc>
          <w:tcPr>
            <w:tcW w:w="2502" w:type="dxa"/>
            <w:tcBorders>
              <w:top w:val="single" w:sz="4" w:space="0" w:color="7F7F7F"/>
              <w:left w:val="single" w:sz="4" w:space="0" w:color="7F7F7F"/>
              <w:bottom w:val="single" w:sz="4" w:space="0" w:color="7F7F7F"/>
              <w:right w:val="single" w:sz="4" w:space="0" w:color="7F7F7F"/>
            </w:tcBorders>
            <w:shd w:val="clear" w:color="auto" w:fill="EDEDED"/>
          </w:tcPr>
          <w:p w14:paraId="5F907E30" w14:textId="77777777" w:rsidR="00B63A85" w:rsidRDefault="00C0062E">
            <w:pPr>
              <w:pStyle w:val="TableParagraph"/>
              <w:keepNext/>
              <w:spacing w:before="20" w:after="20" w:line="218" w:lineRule="auto"/>
              <w:ind w:left="40"/>
            </w:pPr>
            <w:r>
              <w:rPr>
                <w:b/>
                <w:bCs/>
                <w:sz w:val="17"/>
                <w:szCs w:val="17"/>
              </w:rPr>
              <w:t>Services recuperados con modelo</w:t>
            </w:r>
          </w:p>
        </w:tc>
        <w:tc>
          <w:tcPr>
            <w:tcW w:w="2117" w:type="dxa"/>
            <w:tcBorders>
              <w:top w:val="single" w:sz="4" w:space="0" w:color="7F7F7F"/>
              <w:left w:val="single" w:sz="4" w:space="0" w:color="7F7F7F"/>
              <w:bottom w:val="single" w:sz="4" w:space="0" w:color="7F7F7F"/>
              <w:right w:val="single" w:sz="4" w:space="0" w:color="7F7F7F"/>
            </w:tcBorders>
            <w:shd w:val="clear" w:color="auto" w:fill="EDEDED"/>
          </w:tcPr>
          <w:p w14:paraId="4545D6F9" w14:textId="77777777" w:rsidR="00B63A85" w:rsidRDefault="00C0062E">
            <w:pPr>
              <w:pStyle w:val="TableParagraph"/>
              <w:keepNext/>
              <w:spacing w:before="20" w:after="20" w:line="218" w:lineRule="auto"/>
              <w:ind w:left="40"/>
            </w:pPr>
            <w:r>
              <w:rPr>
                <w:b/>
                <w:bCs/>
                <w:sz w:val="17"/>
                <w:szCs w:val="17"/>
              </w:rPr>
              <w:t>Con priorización uniforme</w:t>
            </w:r>
          </w:p>
        </w:tc>
        <w:tc>
          <w:tcPr>
            <w:tcW w:w="1797" w:type="dxa"/>
            <w:tcBorders>
              <w:top w:val="single" w:sz="4" w:space="0" w:color="7F7F7F"/>
              <w:left w:val="single" w:sz="4" w:space="0" w:color="7F7F7F"/>
              <w:bottom w:val="single" w:sz="4" w:space="0" w:color="7F7F7F"/>
              <w:right w:val="single" w:sz="4" w:space="0" w:color="7F7F7F"/>
            </w:tcBorders>
            <w:shd w:val="clear" w:color="auto" w:fill="EDEDED"/>
          </w:tcPr>
          <w:p w14:paraId="2354D8A3" w14:textId="77777777" w:rsidR="00B63A85" w:rsidRDefault="00C0062E">
            <w:pPr>
              <w:pStyle w:val="TableParagraph"/>
              <w:keepNext/>
              <w:spacing w:before="20" w:after="20" w:line="218" w:lineRule="auto"/>
              <w:ind w:left="40"/>
            </w:pPr>
            <w:r>
              <w:rPr>
                <w:b/>
                <w:bCs/>
                <w:sz w:val="17"/>
                <w:szCs w:val="17"/>
              </w:rPr>
              <w:t>Ganancia incremental</w:t>
            </w:r>
          </w:p>
        </w:tc>
      </w:tr>
      <w:tr w:rsidR="00B63A85" w14:paraId="7DCA82B6" w14:textId="77777777">
        <w:trPr>
          <w:cantSplit/>
        </w:trPr>
        <w:tc>
          <w:tcPr>
            <w:tcW w:w="1091" w:type="dxa"/>
            <w:tcBorders>
              <w:top w:val="single" w:sz="4" w:space="0" w:color="7F7F7F"/>
              <w:left w:val="single" w:sz="4" w:space="0" w:color="7F7F7F"/>
              <w:bottom w:val="single" w:sz="4" w:space="0" w:color="7F7F7F"/>
              <w:right w:val="single" w:sz="4" w:space="0" w:color="7F7F7F"/>
            </w:tcBorders>
          </w:tcPr>
          <w:p w14:paraId="08369967" w14:textId="77777777" w:rsidR="00B63A85" w:rsidRDefault="00C0062E">
            <w:pPr>
              <w:pStyle w:val="TableParagraph"/>
              <w:spacing w:before="20" w:after="20" w:line="218" w:lineRule="auto"/>
              <w:ind w:left="40"/>
            </w:pPr>
            <w:r>
              <w:rPr>
                <w:sz w:val="17"/>
                <w:szCs w:val="17"/>
              </w:rPr>
              <w:t>10 %</w:t>
            </w:r>
          </w:p>
        </w:tc>
        <w:tc>
          <w:tcPr>
            <w:tcW w:w="1091" w:type="dxa"/>
            <w:tcBorders>
              <w:top w:val="single" w:sz="4" w:space="0" w:color="7F7F7F"/>
              <w:left w:val="single" w:sz="4" w:space="0" w:color="7F7F7F"/>
              <w:bottom w:val="single" w:sz="4" w:space="0" w:color="7F7F7F"/>
              <w:right w:val="single" w:sz="4" w:space="0" w:color="7F7F7F"/>
            </w:tcBorders>
          </w:tcPr>
          <w:p w14:paraId="31A7AAB5" w14:textId="77777777" w:rsidR="00B63A85" w:rsidRDefault="00C0062E">
            <w:pPr>
              <w:pStyle w:val="TableParagraph"/>
              <w:spacing w:before="20" w:after="20" w:line="218" w:lineRule="auto"/>
              <w:ind w:left="40"/>
            </w:pPr>
            <w:r>
              <w:rPr>
                <w:sz w:val="17"/>
                <w:szCs w:val="17"/>
              </w:rPr>
              <w:t>1.971</w:t>
            </w:r>
          </w:p>
        </w:tc>
        <w:tc>
          <w:tcPr>
            <w:tcW w:w="2502" w:type="dxa"/>
            <w:tcBorders>
              <w:top w:val="single" w:sz="4" w:space="0" w:color="7F7F7F"/>
              <w:left w:val="single" w:sz="4" w:space="0" w:color="7F7F7F"/>
              <w:bottom w:val="single" w:sz="4" w:space="0" w:color="7F7F7F"/>
              <w:right w:val="single" w:sz="4" w:space="0" w:color="7F7F7F"/>
            </w:tcBorders>
          </w:tcPr>
          <w:p w14:paraId="084CB4A1" w14:textId="77777777" w:rsidR="00B63A85" w:rsidRDefault="00C0062E">
            <w:pPr>
              <w:pStyle w:val="TableParagraph"/>
              <w:spacing w:before="20" w:after="20" w:line="218" w:lineRule="auto"/>
              <w:ind w:left="40"/>
            </w:pPr>
            <w:r>
              <w:rPr>
                <w:sz w:val="17"/>
                <w:szCs w:val="17"/>
              </w:rPr>
              <w:t>261</w:t>
            </w:r>
          </w:p>
        </w:tc>
        <w:tc>
          <w:tcPr>
            <w:tcW w:w="2117" w:type="dxa"/>
            <w:tcBorders>
              <w:top w:val="single" w:sz="4" w:space="0" w:color="7F7F7F"/>
              <w:left w:val="single" w:sz="4" w:space="0" w:color="7F7F7F"/>
              <w:bottom w:val="single" w:sz="4" w:space="0" w:color="7F7F7F"/>
              <w:right w:val="single" w:sz="4" w:space="0" w:color="7F7F7F"/>
            </w:tcBorders>
          </w:tcPr>
          <w:p w14:paraId="01BA33EC" w14:textId="77777777" w:rsidR="00B63A85" w:rsidRDefault="00C0062E">
            <w:pPr>
              <w:pStyle w:val="TableParagraph"/>
              <w:spacing w:before="20" w:after="20" w:line="218" w:lineRule="auto"/>
              <w:ind w:left="40"/>
            </w:pPr>
            <w:r>
              <w:rPr>
                <w:sz w:val="17"/>
                <w:szCs w:val="17"/>
              </w:rPr>
              <w:t>126</w:t>
            </w:r>
          </w:p>
        </w:tc>
        <w:tc>
          <w:tcPr>
            <w:tcW w:w="1797" w:type="dxa"/>
            <w:tcBorders>
              <w:top w:val="single" w:sz="4" w:space="0" w:color="7F7F7F"/>
              <w:left w:val="single" w:sz="4" w:space="0" w:color="7F7F7F"/>
              <w:bottom w:val="single" w:sz="4" w:space="0" w:color="7F7F7F"/>
              <w:right w:val="single" w:sz="4" w:space="0" w:color="7F7F7F"/>
            </w:tcBorders>
          </w:tcPr>
          <w:p w14:paraId="5F669762" w14:textId="77777777" w:rsidR="00B63A85" w:rsidRDefault="00C0062E">
            <w:pPr>
              <w:pStyle w:val="TableParagraph"/>
              <w:spacing w:before="20" w:after="20" w:line="218" w:lineRule="auto"/>
              <w:ind w:left="40"/>
            </w:pPr>
            <w:r>
              <w:rPr>
                <w:sz w:val="17"/>
                <w:szCs w:val="17"/>
              </w:rPr>
              <w:t>+107 %</w:t>
            </w:r>
          </w:p>
        </w:tc>
      </w:tr>
      <w:tr w:rsidR="00B63A85" w14:paraId="36ECD946" w14:textId="77777777">
        <w:trPr>
          <w:cantSplit/>
        </w:trPr>
        <w:tc>
          <w:tcPr>
            <w:tcW w:w="1091" w:type="dxa"/>
            <w:tcBorders>
              <w:top w:val="single" w:sz="4" w:space="0" w:color="7F7F7F"/>
              <w:left w:val="single" w:sz="4" w:space="0" w:color="7F7F7F"/>
              <w:bottom w:val="single" w:sz="4" w:space="0" w:color="7F7F7F"/>
              <w:right w:val="single" w:sz="4" w:space="0" w:color="7F7F7F"/>
            </w:tcBorders>
          </w:tcPr>
          <w:p w14:paraId="5D05777A" w14:textId="77777777" w:rsidR="00B63A85" w:rsidRDefault="00C0062E">
            <w:pPr>
              <w:pStyle w:val="TableParagraph"/>
              <w:spacing w:before="20" w:after="20" w:line="218" w:lineRule="auto"/>
              <w:ind w:left="40"/>
            </w:pPr>
            <w:r>
              <w:rPr>
                <w:b/>
                <w:bCs/>
                <w:sz w:val="17"/>
                <w:szCs w:val="17"/>
              </w:rPr>
              <w:t>20 %</w:t>
            </w:r>
          </w:p>
        </w:tc>
        <w:tc>
          <w:tcPr>
            <w:tcW w:w="1091" w:type="dxa"/>
            <w:tcBorders>
              <w:top w:val="single" w:sz="4" w:space="0" w:color="7F7F7F"/>
              <w:left w:val="single" w:sz="4" w:space="0" w:color="7F7F7F"/>
              <w:bottom w:val="single" w:sz="4" w:space="0" w:color="7F7F7F"/>
              <w:right w:val="single" w:sz="4" w:space="0" w:color="7F7F7F"/>
            </w:tcBorders>
          </w:tcPr>
          <w:p w14:paraId="35C56ACC" w14:textId="77777777" w:rsidR="00B63A85" w:rsidRDefault="00C0062E">
            <w:pPr>
              <w:pStyle w:val="TableParagraph"/>
              <w:spacing w:before="20" w:after="20" w:line="218" w:lineRule="auto"/>
              <w:ind w:left="40"/>
            </w:pPr>
            <w:r>
              <w:rPr>
                <w:b/>
                <w:bCs/>
                <w:sz w:val="17"/>
                <w:szCs w:val="17"/>
              </w:rPr>
              <w:t>3.942</w:t>
            </w:r>
          </w:p>
        </w:tc>
        <w:tc>
          <w:tcPr>
            <w:tcW w:w="2502" w:type="dxa"/>
            <w:tcBorders>
              <w:top w:val="single" w:sz="4" w:space="0" w:color="7F7F7F"/>
              <w:left w:val="single" w:sz="4" w:space="0" w:color="7F7F7F"/>
              <w:bottom w:val="single" w:sz="4" w:space="0" w:color="7F7F7F"/>
              <w:right w:val="single" w:sz="4" w:space="0" w:color="7F7F7F"/>
            </w:tcBorders>
          </w:tcPr>
          <w:p w14:paraId="719EE807" w14:textId="77777777" w:rsidR="00B63A85" w:rsidRDefault="00C0062E">
            <w:pPr>
              <w:pStyle w:val="TableParagraph"/>
              <w:spacing w:before="20" w:after="20" w:line="218" w:lineRule="auto"/>
              <w:ind w:left="40"/>
            </w:pPr>
            <w:r>
              <w:rPr>
                <w:b/>
                <w:bCs/>
                <w:sz w:val="17"/>
                <w:szCs w:val="17"/>
              </w:rPr>
              <w:t>458</w:t>
            </w:r>
          </w:p>
        </w:tc>
        <w:tc>
          <w:tcPr>
            <w:tcW w:w="2117" w:type="dxa"/>
            <w:tcBorders>
              <w:top w:val="single" w:sz="4" w:space="0" w:color="7F7F7F"/>
              <w:left w:val="single" w:sz="4" w:space="0" w:color="7F7F7F"/>
              <w:bottom w:val="single" w:sz="4" w:space="0" w:color="7F7F7F"/>
              <w:right w:val="single" w:sz="4" w:space="0" w:color="7F7F7F"/>
            </w:tcBorders>
          </w:tcPr>
          <w:p w14:paraId="78383F2A" w14:textId="77777777" w:rsidR="00B63A85" w:rsidRDefault="00C0062E">
            <w:pPr>
              <w:pStyle w:val="TableParagraph"/>
              <w:spacing w:before="20" w:after="20" w:line="218" w:lineRule="auto"/>
              <w:ind w:left="40"/>
            </w:pPr>
            <w:r>
              <w:rPr>
                <w:b/>
                <w:bCs/>
                <w:sz w:val="17"/>
                <w:szCs w:val="17"/>
              </w:rPr>
              <w:t>252</w:t>
            </w:r>
          </w:p>
        </w:tc>
        <w:tc>
          <w:tcPr>
            <w:tcW w:w="1797" w:type="dxa"/>
            <w:tcBorders>
              <w:top w:val="single" w:sz="4" w:space="0" w:color="7F7F7F"/>
              <w:left w:val="single" w:sz="4" w:space="0" w:color="7F7F7F"/>
              <w:bottom w:val="single" w:sz="4" w:space="0" w:color="7F7F7F"/>
              <w:right w:val="single" w:sz="4" w:space="0" w:color="7F7F7F"/>
            </w:tcBorders>
          </w:tcPr>
          <w:p w14:paraId="20DC1A62" w14:textId="77777777" w:rsidR="00B63A85" w:rsidRDefault="00C0062E">
            <w:pPr>
              <w:pStyle w:val="TableParagraph"/>
              <w:spacing w:before="20" w:after="20" w:line="218" w:lineRule="auto"/>
              <w:ind w:left="40"/>
            </w:pPr>
            <w:r>
              <w:rPr>
                <w:b/>
                <w:bCs/>
                <w:sz w:val="17"/>
                <w:szCs w:val="17"/>
              </w:rPr>
              <w:t>+82 %</w:t>
            </w:r>
          </w:p>
        </w:tc>
      </w:tr>
      <w:tr w:rsidR="00B63A85" w14:paraId="06021FDA" w14:textId="77777777">
        <w:trPr>
          <w:cantSplit/>
        </w:trPr>
        <w:tc>
          <w:tcPr>
            <w:tcW w:w="1091" w:type="dxa"/>
            <w:tcBorders>
              <w:top w:val="single" w:sz="4" w:space="0" w:color="7F7F7F"/>
              <w:left w:val="single" w:sz="4" w:space="0" w:color="7F7F7F"/>
              <w:bottom w:val="single" w:sz="4" w:space="0" w:color="7F7F7F"/>
              <w:right w:val="single" w:sz="4" w:space="0" w:color="7F7F7F"/>
            </w:tcBorders>
          </w:tcPr>
          <w:p w14:paraId="37582AB2" w14:textId="77777777" w:rsidR="00B63A85" w:rsidRDefault="00C0062E">
            <w:pPr>
              <w:pStyle w:val="TableParagraph"/>
              <w:spacing w:before="20" w:after="20" w:line="218" w:lineRule="auto"/>
              <w:ind w:left="40"/>
            </w:pPr>
            <w:r>
              <w:rPr>
                <w:sz w:val="17"/>
                <w:szCs w:val="17"/>
              </w:rPr>
              <w:t>30 %</w:t>
            </w:r>
          </w:p>
        </w:tc>
        <w:tc>
          <w:tcPr>
            <w:tcW w:w="1091" w:type="dxa"/>
            <w:tcBorders>
              <w:top w:val="single" w:sz="4" w:space="0" w:color="7F7F7F"/>
              <w:left w:val="single" w:sz="4" w:space="0" w:color="7F7F7F"/>
              <w:bottom w:val="single" w:sz="4" w:space="0" w:color="7F7F7F"/>
              <w:right w:val="single" w:sz="4" w:space="0" w:color="7F7F7F"/>
            </w:tcBorders>
          </w:tcPr>
          <w:p w14:paraId="4C6AC774" w14:textId="77777777" w:rsidR="00B63A85" w:rsidRDefault="00C0062E">
            <w:pPr>
              <w:pStyle w:val="TableParagraph"/>
              <w:spacing w:before="20" w:after="20" w:line="218" w:lineRule="auto"/>
              <w:ind w:left="40"/>
            </w:pPr>
            <w:r>
              <w:rPr>
                <w:sz w:val="17"/>
                <w:szCs w:val="17"/>
              </w:rPr>
              <w:t>5.913</w:t>
            </w:r>
          </w:p>
        </w:tc>
        <w:tc>
          <w:tcPr>
            <w:tcW w:w="2502" w:type="dxa"/>
            <w:tcBorders>
              <w:top w:val="single" w:sz="4" w:space="0" w:color="7F7F7F"/>
              <w:left w:val="single" w:sz="4" w:space="0" w:color="7F7F7F"/>
              <w:bottom w:val="single" w:sz="4" w:space="0" w:color="7F7F7F"/>
              <w:right w:val="single" w:sz="4" w:space="0" w:color="7F7F7F"/>
            </w:tcBorders>
          </w:tcPr>
          <w:p w14:paraId="37729059" w14:textId="77777777" w:rsidR="00B63A85" w:rsidRDefault="00C0062E">
            <w:pPr>
              <w:pStyle w:val="TableParagraph"/>
              <w:spacing w:before="20" w:after="20" w:line="218" w:lineRule="auto"/>
              <w:ind w:left="40"/>
            </w:pPr>
            <w:r>
              <w:rPr>
                <w:sz w:val="17"/>
                <w:szCs w:val="17"/>
              </w:rPr>
              <w:t>618</w:t>
            </w:r>
          </w:p>
        </w:tc>
        <w:tc>
          <w:tcPr>
            <w:tcW w:w="2117" w:type="dxa"/>
            <w:tcBorders>
              <w:top w:val="single" w:sz="4" w:space="0" w:color="7F7F7F"/>
              <w:left w:val="single" w:sz="4" w:space="0" w:color="7F7F7F"/>
              <w:bottom w:val="single" w:sz="4" w:space="0" w:color="7F7F7F"/>
              <w:right w:val="single" w:sz="4" w:space="0" w:color="7F7F7F"/>
            </w:tcBorders>
          </w:tcPr>
          <w:p w14:paraId="41186CB1" w14:textId="77777777" w:rsidR="00B63A85" w:rsidRDefault="00C0062E">
            <w:pPr>
              <w:pStyle w:val="TableParagraph"/>
              <w:spacing w:before="20" w:after="20" w:line="218" w:lineRule="auto"/>
              <w:ind w:left="40"/>
            </w:pPr>
            <w:r>
              <w:rPr>
                <w:sz w:val="17"/>
                <w:szCs w:val="17"/>
              </w:rPr>
              <w:t>378</w:t>
            </w:r>
          </w:p>
        </w:tc>
        <w:tc>
          <w:tcPr>
            <w:tcW w:w="1797" w:type="dxa"/>
            <w:tcBorders>
              <w:top w:val="single" w:sz="4" w:space="0" w:color="7F7F7F"/>
              <w:left w:val="single" w:sz="4" w:space="0" w:color="7F7F7F"/>
              <w:bottom w:val="single" w:sz="4" w:space="0" w:color="7F7F7F"/>
              <w:right w:val="single" w:sz="4" w:space="0" w:color="7F7F7F"/>
            </w:tcBorders>
          </w:tcPr>
          <w:p w14:paraId="610E8B47" w14:textId="77777777" w:rsidR="00B63A85" w:rsidRDefault="00C0062E">
            <w:pPr>
              <w:pStyle w:val="TableParagraph"/>
              <w:spacing w:before="20" w:after="20" w:line="218" w:lineRule="auto"/>
              <w:ind w:left="40"/>
            </w:pPr>
            <w:r>
              <w:rPr>
                <w:sz w:val="17"/>
                <w:szCs w:val="17"/>
              </w:rPr>
              <w:t>+63 %</w:t>
            </w:r>
          </w:p>
        </w:tc>
      </w:tr>
      <w:tr w:rsidR="00B63A85" w14:paraId="2F8B1CA9" w14:textId="77777777">
        <w:trPr>
          <w:cantSplit/>
        </w:trPr>
        <w:tc>
          <w:tcPr>
            <w:tcW w:w="1091" w:type="dxa"/>
            <w:tcBorders>
              <w:top w:val="single" w:sz="4" w:space="0" w:color="7F7F7F"/>
              <w:left w:val="single" w:sz="4" w:space="0" w:color="7F7F7F"/>
              <w:bottom w:val="single" w:sz="4" w:space="0" w:color="7F7F7F"/>
              <w:right w:val="single" w:sz="4" w:space="0" w:color="7F7F7F"/>
            </w:tcBorders>
          </w:tcPr>
          <w:p w14:paraId="1A8CA7BE" w14:textId="77777777" w:rsidR="00B63A85" w:rsidRDefault="00C0062E">
            <w:pPr>
              <w:pStyle w:val="TableParagraph"/>
              <w:spacing w:before="20" w:after="20" w:line="218" w:lineRule="auto"/>
              <w:ind w:left="40"/>
            </w:pPr>
            <w:r>
              <w:rPr>
                <w:sz w:val="17"/>
                <w:szCs w:val="17"/>
              </w:rPr>
              <w:t>50 %</w:t>
            </w:r>
          </w:p>
        </w:tc>
        <w:tc>
          <w:tcPr>
            <w:tcW w:w="1091" w:type="dxa"/>
            <w:tcBorders>
              <w:top w:val="single" w:sz="4" w:space="0" w:color="7F7F7F"/>
              <w:left w:val="single" w:sz="4" w:space="0" w:color="7F7F7F"/>
              <w:bottom w:val="single" w:sz="4" w:space="0" w:color="7F7F7F"/>
              <w:right w:val="single" w:sz="4" w:space="0" w:color="7F7F7F"/>
            </w:tcBorders>
          </w:tcPr>
          <w:p w14:paraId="210BEAAF" w14:textId="77777777" w:rsidR="00B63A85" w:rsidRDefault="00C0062E">
            <w:pPr>
              <w:pStyle w:val="TableParagraph"/>
              <w:spacing w:before="20" w:after="20" w:line="218" w:lineRule="auto"/>
              <w:ind w:left="40"/>
            </w:pPr>
            <w:r>
              <w:rPr>
                <w:sz w:val="17"/>
                <w:szCs w:val="17"/>
              </w:rPr>
              <w:t>9.854</w:t>
            </w:r>
          </w:p>
        </w:tc>
        <w:tc>
          <w:tcPr>
            <w:tcW w:w="2502" w:type="dxa"/>
            <w:tcBorders>
              <w:top w:val="single" w:sz="4" w:space="0" w:color="7F7F7F"/>
              <w:left w:val="single" w:sz="4" w:space="0" w:color="7F7F7F"/>
              <w:bottom w:val="single" w:sz="4" w:space="0" w:color="7F7F7F"/>
              <w:right w:val="single" w:sz="4" w:space="0" w:color="7F7F7F"/>
            </w:tcBorders>
          </w:tcPr>
          <w:p w14:paraId="6136FA10" w14:textId="77777777" w:rsidR="00B63A85" w:rsidRDefault="00C0062E">
            <w:pPr>
              <w:pStyle w:val="TableParagraph"/>
              <w:spacing w:before="20" w:after="20" w:line="218" w:lineRule="auto"/>
              <w:ind w:left="40"/>
            </w:pPr>
            <w:r>
              <w:rPr>
                <w:sz w:val="17"/>
                <w:szCs w:val="17"/>
              </w:rPr>
              <w:t>874</w:t>
            </w:r>
          </w:p>
        </w:tc>
        <w:tc>
          <w:tcPr>
            <w:tcW w:w="2117" w:type="dxa"/>
            <w:tcBorders>
              <w:top w:val="single" w:sz="4" w:space="0" w:color="7F7F7F"/>
              <w:left w:val="single" w:sz="4" w:space="0" w:color="7F7F7F"/>
              <w:bottom w:val="single" w:sz="4" w:space="0" w:color="7F7F7F"/>
              <w:right w:val="single" w:sz="4" w:space="0" w:color="7F7F7F"/>
            </w:tcBorders>
          </w:tcPr>
          <w:p w14:paraId="15242463" w14:textId="77777777" w:rsidR="00B63A85" w:rsidRDefault="00C0062E">
            <w:pPr>
              <w:pStyle w:val="TableParagraph"/>
              <w:spacing w:before="20" w:after="20" w:line="218" w:lineRule="auto"/>
              <w:ind w:left="40"/>
            </w:pPr>
            <w:r>
              <w:rPr>
                <w:sz w:val="17"/>
                <w:szCs w:val="17"/>
              </w:rPr>
              <w:t>630</w:t>
            </w:r>
          </w:p>
        </w:tc>
        <w:tc>
          <w:tcPr>
            <w:tcW w:w="1797" w:type="dxa"/>
            <w:tcBorders>
              <w:top w:val="single" w:sz="4" w:space="0" w:color="7F7F7F"/>
              <w:left w:val="single" w:sz="4" w:space="0" w:color="7F7F7F"/>
              <w:bottom w:val="single" w:sz="4" w:space="0" w:color="7F7F7F"/>
              <w:right w:val="single" w:sz="4" w:space="0" w:color="7F7F7F"/>
            </w:tcBorders>
          </w:tcPr>
          <w:p w14:paraId="2694A503" w14:textId="77777777" w:rsidR="00B63A85" w:rsidRDefault="00C0062E">
            <w:pPr>
              <w:pStyle w:val="TableParagraph"/>
              <w:spacing w:before="20" w:after="20" w:line="218" w:lineRule="auto"/>
              <w:ind w:left="40"/>
            </w:pPr>
            <w:r>
              <w:rPr>
                <w:sz w:val="17"/>
                <w:szCs w:val="17"/>
              </w:rPr>
              <w:t>+39 %</w:t>
            </w:r>
          </w:p>
        </w:tc>
      </w:tr>
    </w:tbl>
    <w:p w14:paraId="06D75E8F" w14:textId="77777777" w:rsidR="00B63A85" w:rsidRDefault="00B63A85">
      <w:pPr>
        <w:pStyle w:val="BodyText"/>
        <w:spacing w:before="20" w:line="264" w:lineRule="auto"/>
        <w:ind w:left="170" w:right="120"/>
        <w:jc w:val="both"/>
      </w:pPr>
    </w:p>
    <w:p w14:paraId="0F533B4A" w14:textId="77777777" w:rsidR="00B63A85" w:rsidRDefault="00C0062E">
      <w:pPr>
        <w:pStyle w:val="BodyText"/>
        <w:spacing w:before="90" w:line="264" w:lineRule="auto"/>
        <w:ind w:left="170" w:right="120"/>
        <w:jc w:val="both"/>
      </w:pPr>
      <w:r>
        <w:rPr>
          <w:i w:val="0"/>
          <w:iCs w:val="0"/>
          <w:sz w:val="20"/>
          <w:szCs w:val="20"/>
        </w:rPr>
        <w:t xml:space="preserve">Con esos supuestos, sobre las 19.709 ventanas de los tres meses de test, contactar al 20 % de mayor riesgo en lugar de elegir al azar da unos USD 52.000 de margen incremental, del orden de USD 200.000 al año. No son ingresos obtenidos ni deben atribuirse a la segunda etapa.</w:t>
      </w:r>
    </w:p>
    <w:p w14:paraId="07164739" w14:textId="77777777" w:rsidR="00B63A85" w:rsidRDefault="00C0062E">
      <w:pPr>
        <w:pStyle w:val="Heading2"/>
        <w:keepNext/>
        <w:spacing w:before="280"/>
        <w:ind w:left="170" w:firstLine="0"/>
      </w:pPr>
      <w:r>
        <w:t>Anexo I. Preguntas abiertas para Ford</w:t>
      </w:r>
    </w:p>
    <w:p w14:paraId="7CB7182A" w14:textId="77777777" w:rsidR="00B63A85" w:rsidRDefault="00C0062E">
      <w:pPr>
        <w:pStyle w:val="ListParagraph"/>
        <w:numPr>
          <w:ilvl w:val="0"/>
          <w:numId w:val="2"/>
        </w:numPr>
        <w:spacing w:before="50" w:line="259" w:lineRule="auto"/>
        <w:ind w:right="120"/>
        <w:jc w:val="both"/>
      </w:pPr>
      <w:r>
        <w:rPr>
          <w:sz w:val="20"/>
          <w:szCs w:val="20"/>
        </w:rPr>
        <w:t>¿Confirman el plan de 16.000 km / 12 meses (Ranger P703 y Raptor nueva) y 10.000 km / 1 año (P375 y anteriores) que publica ford.com.ar? ¿Hay excepciones por versión o por uso severo?</w:t>
      </w:r>
    </w:p>
    <w:p w14:paraId="172707E2" w14:textId="77777777" w:rsidR="00B63A85" w:rsidRDefault="00C0062E">
      <w:pPr>
        <w:pStyle w:val="ListParagraph"/>
        <w:numPr>
          <w:ilvl w:val="0"/>
          <w:numId w:val="2"/>
        </w:numPr>
        <w:spacing w:before="50" w:line="259" w:lineRule="auto"/>
        <w:ind w:right="120"/>
        <w:jc w:val="both"/>
      </w:pPr>
      <w:r>
        <w:rPr>
          <w:sz w:val="20"/>
          <w:szCs w:val="20"/>
        </w:rPr>
        <w:t>¿Con cuánta anticipación contacta hoy Service Reminder? Define la apertura (−30 o −60 días).</w:t>
      </w:r>
    </w:p>
    <w:p w14:paraId="4F66300F" w14:textId="77777777" w:rsidR="00B63A85" w:rsidRDefault="00C0062E">
      <w:pPr>
        <w:pStyle w:val="ListParagraph"/>
        <w:numPr>
          <w:ilvl w:val="0"/>
          <w:numId w:val="2"/>
        </w:numPr>
        <w:spacing w:before="50" w:line="259" w:lineRule="auto"/>
        <w:ind w:right="120"/>
        <w:jc w:val="both"/>
      </w:pPr>
      <w:r>
        <w:rPr>
          <w:sz w:val="20"/>
          <w:szCs w:val="20"/>
        </w:rPr>
        <w:t>¿Cuál es la capacidad real de contactos personales por concesionario y mes?</w:t>
      </w:r>
    </w:p>
    <w:p w14:paraId="1E4E89D1" w14:textId="77777777" w:rsidR="00B63A85" w:rsidRDefault="00C0062E">
      <w:pPr>
        <w:pStyle w:val="ListParagraph"/>
        <w:numPr>
          <w:ilvl w:val="0"/>
          <w:numId w:val="2"/>
        </w:numPr>
        <w:spacing w:before="50" w:line="259" w:lineRule="auto"/>
        <w:ind w:right="120"/>
        <w:jc w:val="both"/>
      </w:pPr>
      <w:r>
        <w:rPr>
          <w:sz w:val="20"/>
          <w:szCs w:val="20"/>
        </w:rPr>
        <w:t>¿Hay kilometraje de telemetría disponible para los vehículos conectados?</w:t>
      </w:r>
    </w:p>
    <w:p w14:paraId="4609CCA6" w14:textId="77777777" w:rsidR="00B63A85" w:rsidRDefault="00C0062E">
      <w:pPr>
        <w:pStyle w:val="ListParagraph"/>
        <w:numPr>
          <w:ilvl w:val="0"/>
          <w:numId w:val="2"/>
        </w:numPr>
        <w:spacing w:before="50" w:line="259" w:lineRule="auto"/>
        <w:ind w:right="120"/>
        <w:jc w:val="both"/>
      </w:pPr>
      <w:r>
        <w:rPr>
          <w:sz w:val="20"/>
          <w:szCs w:val="20"/>
        </w:rPr>
        <w:t>¿Un "cambio de aceite" suelto cuenta como mantenimiento programado?</w:t>
      </w:r>
    </w:p>
    <w:p w14:paraId="00FCDF37" w14:textId="77777777" w:rsidR="00B63A85" w:rsidRDefault="00C0062E">
      <w:pPr>
        <w:pStyle w:val="ListParagraph"/>
        <w:numPr>
          <w:ilvl w:val="0"/>
          <w:numId w:val="2"/>
        </w:numPr>
        <w:spacing w:before="50" w:line="259" w:lineRule="auto"/>
        <w:ind w:right="120"/>
        <w:jc w:val="both"/>
      </w:pPr>
      <w:r>
        <w:rPr>
          <w:sz w:val="20"/>
          <w:szCs w:val="20"/>
        </w:rPr>
        <w:t>¿Existe la fecha de creación del turno en el sistema de Agenda?</w:t>
      </w:r>
    </w:p>
    <w:p w14:paraId="000BEB78" w14:textId="77777777" w:rsidR="00B63A85" w:rsidRDefault="00C0062E">
      <w:pPr>
        <w:pStyle w:val="Heading2"/>
        <w:keepNext/>
        <w:spacing w:before="280"/>
        <w:ind w:left="170" w:firstLine="0"/>
      </w:pPr>
      <w:r>
        <w:t>Anexo J. Reproducibilidad: dónde está cada cosa</w:t>
      </w:r>
    </w:p>
    <w:p w14:paraId="64550DB2" w14:textId="77777777" w:rsidR="00B63A85" w:rsidRDefault="00C0062E">
      <w:pPr>
        <w:pStyle w:val="BodyText"/>
        <w:spacing w:before="90" w:line="264" w:lineRule="auto"/>
        <w:ind w:left="170" w:right="120"/>
        <w:jc w:val="both"/>
      </w:pPr>
      <w:r>
        <w:rPr>
          <w:i w:val="0"/>
          <w:iCs w:val="0"/>
          <w:sz w:val="20"/>
          <w:szCs w:val="20"/>
        </w:rPr>
        <w:t xml:space="preserve">Repositorio del equipo, carpeta desafio-1-repurchase-propensity/. En src/repurchase/ están la carga, los eventos, las ventanas, las features, el modelo, la evaluación, la explicabilidad, el negocio y el contacto. scripts/run_pipeline.py corre toda la secuencia y scripts/run_contacto.py repite la política sobre scores ya calculados. config/params.json define la ventana, config/negocio.json los supuestos económicos y config/contacto.json la segunda etapa. La aplicación se abre con webapp/abrir_app.bat en Windows o webapp/abrir_app.sh en Linux y macOS. scripts/eda/, scripts/sensibilidad_ventana.py, scripts/ablaciones.py y notebooks/ guardan la evidencia técnica. Entorno: Python 3.12, pandas, scikit-learn, LightGBM, SHAP y Streamlit, con versiones fijadas en requirements-lock.txt. Los CSV de origen no se modifican.</w:t>
      </w:r>
    </w:p>
    <w:sectPr w:rsidR="00B63A85">
      <w:headerReference w:type="default" r:id="rId26"/>
      <w:footerReference w:type="default" r:id="rId27"/>
      <w:headerReference w:type="first" r:id="rId28"/>
      <w:footerReference w:type="first" r:id="rId29"/>
      <w:pgSz w:w="11906" w:h="16838"/>
      <w:pgMar w:top="1260" w:right="1559" w:bottom="1060" w:left="1417" w:header="0" w:footer="865" w:gutter="0"/>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1EDF0" w14:textId="77777777" w:rsidR="00C0062E" w:rsidRDefault="00C0062E">
      <w:r>
        <w:separator/>
      </w:r>
    </w:p>
  </w:endnote>
  <w:endnote w:type="continuationSeparator" w:id="0">
    <w:p w14:paraId="57248414" w14:textId="77777777" w:rsidR="00C0062E" w:rsidRDefault="00C00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29B79" w14:textId="77777777" w:rsidR="00B63A85" w:rsidRDefault="00B63A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9206C" w14:textId="77777777" w:rsidR="00B63A85" w:rsidRDefault="00B63A8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42D22" w14:textId="77777777" w:rsidR="00B63A85" w:rsidRDefault="00B63A8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EE5B4" w14:textId="77777777" w:rsidR="00B63A85" w:rsidRDefault="00B63A8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902BF" w14:textId="77777777" w:rsidR="00B63A85" w:rsidRDefault="00B63A8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DFDC0" w14:textId="77777777" w:rsidR="00C0062E" w:rsidRDefault="00C0062E">
      <w:r>
        <w:separator/>
      </w:r>
    </w:p>
  </w:footnote>
  <w:footnote w:type="continuationSeparator" w:id="0">
    <w:p w14:paraId="56483AEA" w14:textId="77777777" w:rsidR="00C0062E" w:rsidRDefault="00C00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EB511" w14:textId="77777777" w:rsidR="00B63A85" w:rsidRDefault="00B63A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EC3C3" w14:textId="77777777" w:rsidR="00B63A85" w:rsidRDefault="00B63A8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887D0" w14:textId="77777777" w:rsidR="00B63A85" w:rsidRDefault="00B63A8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D1E0E" w14:textId="77777777" w:rsidR="00B63A85" w:rsidRDefault="00B63A8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8381E" w14:textId="77777777" w:rsidR="00B63A85" w:rsidRDefault="00B63A8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E7A8E"/>
    <w:multiLevelType w:val="multilevel"/>
    <w:tmpl w:val="A57CFDDC"/>
    <w:lvl w:ilvl="0">
      <w:start w:val="1"/>
      <w:numFmt w:val="decimal"/>
      <w:lvlText w:val="%1."/>
      <w:lvlJc w:val="left"/>
      <w:pPr>
        <w:tabs>
          <w:tab w:val="num" w:pos="0"/>
        </w:tabs>
        <w:ind w:left="514" w:hanging="344"/>
      </w:pPr>
      <w:rPr>
        <w:rFonts w:ascii="Palatino Linotype" w:eastAsia="Palatino Linotype" w:hAnsi="Palatino Linotype" w:cs="Palatino Linotype"/>
        <w:b/>
        <w:bCs/>
        <w:i w:val="0"/>
        <w:iCs w:val="0"/>
        <w:spacing w:val="-1"/>
        <w:w w:val="105"/>
        <w:sz w:val="24"/>
        <w:szCs w:val="24"/>
        <w:u w:val="single" w:color="000000"/>
        <w:lang w:val="es-ES" w:eastAsia="en-US" w:bidi="ar-SA"/>
      </w:rPr>
    </w:lvl>
    <w:lvl w:ilvl="1">
      <w:start w:val="1"/>
      <w:numFmt w:val="decimal"/>
      <w:lvlText w:val="%1.%2"/>
      <w:lvlJc w:val="left"/>
      <w:pPr>
        <w:tabs>
          <w:tab w:val="num" w:pos="0"/>
        </w:tabs>
        <w:ind w:left="616" w:hanging="446"/>
      </w:pPr>
      <w:rPr>
        <w:rFonts w:ascii="Palatino Linotype" w:eastAsia="Palatino Linotype" w:hAnsi="Palatino Linotype" w:cs="Palatino Linotype"/>
        <w:b/>
        <w:bCs/>
        <w:i w:val="0"/>
        <w:iCs w:val="0"/>
        <w:spacing w:val="0"/>
        <w:w w:val="116"/>
        <w:sz w:val="22"/>
        <w:szCs w:val="22"/>
        <w:lang w:val="es-ES" w:eastAsia="en-US" w:bidi="ar-SA"/>
      </w:rPr>
    </w:lvl>
    <w:lvl w:ilvl="2">
      <w:start w:val="1"/>
      <w:numFmt w:val="decimal"/>
      <w:lvlText w:val="%1.%2.%3"/>
      <w:lvlJc w:val="left"/>
      <w:pPr>
        <w:tabs>
          <w:tab w:val="num" w:pos="0"/>
        </w:tabs>
        <w:ind w:left="841" w:hanging="672"/>
      </w:pPr>
      <w:rPr>
        <w:rFonts w:ascii="Georgia" w:eastAsia="Georgia" w:hAnsi="Georgia" w:cs="Georgia"/>
        <w:b/>
        <w:bCs/>
        <w:i/>
        <w:iCs/>
        <w:spacing w:val="0"/>
        <w:w w:val="102"/>
        <w:sz w:val="22"/>
        <w:szCs w:val="22"/>
        <w:lang w:val="es-ES" w:eastAsia="en-US" w:bidi="ar-SA"/>
      </w:rPr>
    </w:lvl>
    <w:lvl w:ilvl="3">
      <w:numFmt w:val="bullet"/>
      <w:lvlText w:val=""/>
      <w:lvlJc w:val="left"/>
      <w:pPr>
        <w:tabs>
          <w:tab w:val="num" w:pos="0"/>
        </w:tabs>
        <w:ind w:left="1851" w:hanging="672"/>
      </w:pPr>
      <w:rPr>
        <w:rFonts w:ascii="Symbol" w:hAnsi="Symbol" w:cs="Symbol" w:hint="default"/>
        <w:lang w:val="es-ES" w:eastAsia="en-US" w:bidi="ar-SA"/>
      </w:rPr>
    </w:lvl>
    <w:lvl w:ilvl="4">
      <w:numFmt w:val="bullet"/>
      <w:lvlText w:val=""/>
      <w:lvlJc w:val="left"/>
      <w:pPr>
        <w:tabs>
          <w:tab w:val="num" w:pos="0"/>
        </w:tabs>
        <w:ind w:left="2862" w:hanging="672"/>
      </w:pPr>
      <w:rPr>
        <w:rFonts w:ascii="Symbol" w:hAnsi="Symbol" w:cs="Symbol" w:hint="default"/>
        <w:lang w:val="es-ES" w:eastAsia="en-US" w:bidi="ar-SA"/>
      </w:rPr>
    </w:lvl>
    <w:lvl w:ilvl="5">
      <w:numFmt w:val="bullet"/>
      <w:lvlText w:val=""/>
      <w:lvlJc w:val="left"/>
      <w:pPr>
        <w:tabs>
          <w:tab w:val="num" w:pos="0"/>
        </w:tabs>
        <w:ind w:left="3873" w:hanging="672"/>
      </w:pPr>
      <w:rPr>
        <w:rFonts w:ascii="Symbol" w:hAnsi="Symbol" w:cs="Symbol" w:hint="default"/>
        <w:lang w:val="es-ES" w:eastAsia="en-US" w:bidi="ar-SA"/>
      </w:rPr>
    </w:lvl>
    <w:lvl w:ilvl="6">
      <w:numFmt w:val="bullet"/>
      <w:lvlText w:val=""/>
      <w:lvlJc w:val="left"/>
      <w:pPr>
        <w:tabs>
          <w:tab w:val="num" w:pos="0"/>
        </w:tabs>
        <w:ind w:left="4884" w:hanging="672"/>
      </w:pPr>
      <w:rPr>
        <w:rFonts w:ascii="Symbol" w:hAnsi="Symbol" w:cs="Symbol" w:hint="default"/>
        <w:lang w:val="es-ES" w:eastAsia="en-US" w:bidi="ar-SA"/>
      </w:rPr>
    </w:lvl>
    <w:lvl w:ilvl="7">
      <w:numFmt w:val="bullet"/>
      <w:lvlText w:val=""/>
      <w:lvlJc w:val="left"/>
      <w:pPr>
        <w:tabs>
          <w:tab w:val="num" w:pos="0"/>
        </w:tabs>
        <w:ind w:left="5895" w:hanging="672"/>
      </w:pPr>
      <w:rPr>
        <w:rFonts w:ascii="Symbol" w:hAnsi="Symbol" w:cs="Symbol" w:hint="default"/>
        <w:lang w:val="es-ES" w:eastAsia="en-US" w:bidi="ar-SA"/>
      </w:rPr>
    </w:lvl>
    <w:lvl w:ilvl="8">
      <w:numFmt w:val="bullet"/>
      <w:lvlText w:val=""/>
      <w:lvlJc w:val="left"/>
      <w:pPr>
        <w:tabs>
          <w:tab w:val="num" w:pos="0"/>
        </w:tabs>
        <w:ind w:left="6907" w:hanging="672"/>
      </w:pPr>
      <w:rPr>
        <w:rFonts w:ascii="Symbol" w:hAnsi="Symbol" w:cs="Symbol" w:hint="default"/>
        <w:lang w:val="es-ES" w:eastAsia="en-US" w:bidi="ar-SA"/>
      </w:rPr>
    </w:lvl>
  </w:abstractNum>
  <w:abstractNum w:abstractNumId="1" w15:restartNumberingAfterBreak="0">
    <w:nsid w:val="5D9263DB"/>
    <w:multiLevelType w:val="multilevel"/>
    <w:tmpl w:val="49F6F706"/>
    <w:lvl w:ilvl="0">
      <w:start w:val="1"/>
      <w:numFmt w:val="bullet"/>
      <w:lvlText w:val="•"/>
      <w:lvlJc w:val="left"/>
      <w:pPr>
        <w:tabs>
          <w:tab w:val="num" w:pos="0"/>
        </w:tabs>
        <w:ind w:left="560" w:hanging="220"/>
      </w:pPr>
      <w:rPr>
        <w:rFonts w:ascii="Palatino Linotype" w:hAnsi="Palatino Linotype" w:cs="Palatino Linotype"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 w15:restartNumberingAfterBreak="0">
    <w:nsid w:val="5FE651AD"/>
    <w:multiLevelType w:val="multilevel"/>
    <w:tmpl w:val="549C491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560937088">
    <w:abstractNumId w:val="0"/>
  </w:num>
  <w:num w:numId="2" w16cid:durableId="862520731">
    <w:abstractNumId w:val="1"/>
  </w:num>
  <w:num w:numId="3" w16cid:durableId="10022732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63A85"/>
    <w:rsid w:val="00097384"/>
    <w:rsid w:val="00511843"/>
    <w:rsid w:val="00540AA7"/>
    <w:rsid w:val="009038DE"/>
    <w:rsid w:val="00A529EB"/>
    <w:rsid w:val="00B63A85"/>
    <w:rsid w:val="00C0062E"/>
    <w:rsid w:val="00EB3C67"/>
  </w:rsids>
  <m:mathPr>
    <m:mathFont m:val="Cambria Math"/>
    <m:brkBin m:val="before"/>
    <m:brkBinSub m:val="--"/>
    <m:smallFrac m:val="0"/>
    <m:dispDef/>
    <m:lMargin m:val="0"/>
    <m:rMargin m:val="0"/>
    <m:defJc m:val="centerGroup"/>
    <m:wrapIndent m:val="1440"/>
    <m:intLim m:val="subSup"/>
    <m:naryLim m:val="undOvr"/>
  </m:mathPr>
  <w:themeFontLang w:val="es-A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39D31"/>
  <w15:docId w15:val="{9B9FBC19-E8F7-4F52-A353-2F5A77A2A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ascii="Palatino Linotype" w:eastAsia="Palatino Linotype" w:hAnsi="Palatino Linotype" w:cs="Palatino Linotype"/>
      <w:lang w:val="es-ES"/>
    </w:rPr>
  </w:style>
  <w:style w:type="paragraph" w:styleId="Heading1">
    <w:name w:val="heading 1"/>
    <w:basedOn w:val="Normal"/>
    <w:uiPriority w:val="9"/>
    <w:qFormat/>
    <w:pPr>
      <w:spacing w:before="106"/>
      <w:ind w:left="378" w:hanging="208"/>
      <w:outlineLvl w:val="0"/>
    </w:pPr>
    <w:rPr>
      <w:b/>
      <w:bCs/>
      <w:sz w:val="24"/>
      <w:szCs w:val="24"/>
      <w:u w:val="single" w:color="000000"/>
    </w:rPr>
  </w:style>
  <w:style w:type="paragraph" w:styleId="Heading2">
    <w:name w:val="heading 2"/>
    <w:basedOn w:val="Normal"/>
    <w:uiPriority w:val="9"/>
    <w:unhideWhenUsed/>
    <w:qFormat/>
    <w:pPr>
      <w:ind w:left="615" w:hanging="445"/>
      <w:outlineLvl w:val="1"/>
    </w:pPr>
    <w:rPr>
      <w:b/>
      <w:bCs/>
    </w:rPr>
  </w:style>
  <w:style w:type="paragraph" w:styleId="Heading3">
    <w:name w:val="heading 3"/>
    <w:basedOn w:val="Normal"/>
    <w:uiPriority w:val="9"/>
    <w:unhideWhenUsed/>
    <w:qFormat/>
    <w:pPr>
      <w:spacing w:before="282"/>
      <w:ind w:left="840" w:hanging="670"/>
      <w:outlineLvl w:val="2"/>
    </w:pPr>
    <w:rPr>
      <w:rFonts w:ascii="Georgia" w:eastAsia="Georgia" w:hAnsi="Georgia" w:cs="Georgia"/>
      <w:b/>
      <w:bCs/>
      <w:i/>
      <w:iCs/>
    </w:rPr>
  </w:style>
  <w:style w:type="paragraph" w:styleId="Heading4">
    <w:name w:val="heading 4"/>
    <w:basedOn w:val="Normal"/>
    <w:next w:val="Normal"/>
    <w:link w:val="Heading4Char"/>
    <w:uiPriority w:val="9"/>
    <w:semiHidden/>
    <w:unhideWhenUsed/>
    <w:qFormat/>
    <w:rsid w:val="00493996"/>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493996"/>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493996"/>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493996"/>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493996"/>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93996"/>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962384"/>
    <w:rPr>
      <w:rFonts w:ascii="Palatino Linotype" w:eastAsia="Palatino Linotype" w:hAnsi="Palatino Linotype" w:cs="Palatino Linotype"/>
      <w:lang w:val="es-ES"/>
    </w:rPr>
  </w:style>
  <w:style w:type="character" w:customStyle="1" w:styleId="FooterChar">
    <w:name w:val="Footer Char"/>
    <w:basedOn w:val="DefaultParagraphFont"/>
    <w:link w:val="Footer"/>
    <w:uiPriority w:val="99"/>
    <w:qFormat/>
    <w:rsid w:val="00962384"/>
    <w:rPr>
      <w:rFonts w:ascii="Palatino Linotype" w:eastAsia="Palatino Linotype" w:hAnsi="Palatino Linotype" w:cs="Palatino Linotype"/>
      <w:lang w:val="es-ES"/>
    </w:rPr>
  </w:style>
  <w:style w:type="character" w:styleId="BookTitle">
    <w:name w:val="Book Title"/>
    <w:basedOn w:val="DefaultParagraphFont"/>
    <w:uiPriority w:val="33"/>
    <w:qFormat/>
    <w:rsid w:val="00493996"/>
    <w:rPr>
      <w:b/>
      <w:bCs/>
      <w:i/>
      <w:iCs/>
      <w:spacing w:val="5"/>
    </w:rPr>
  </w:style>
  <w:style w:type="character" w:styleId="Emphasis">
    <w:name w:val="Emphasis"/>
    <w:basedOn w:val="DefaultParagraphFont"/>
    <w:uiPriority w:val="20"/>
    <w:qFormat/>
    <w:rsid w:val="00493996"/>
    <w:rPr>
      <w:i/>
      <w:iCs/>
    </w:rPr>
  </w:style>
  <w:style w:type="character" w:customStyle="1" w:styleId="Heading4Char">
    <w:name w:val="Heading 4 Char"/>
    <w:basedOn w:val="DefaultParagraphFont"/>
    <w:link w:val="Heading4"/>
    <w:uiPriority w:val="9"/>
    <w:semiHidden/>
    <w:qFormat/>
    <w:rsid w:val="00493996"/>
    <w:rPr>
      <w:rFonts w:asciiTheme="majorHAnsi" w:eastAsiaTheme="majorEastAsia" w:hAnsiTheme="majorHAnsi" w:cstheme="majorBidi"/>
      <w:i/>
      <w:iCs/>
      <w:color w:val="365F91" w:themeColor="accent1" w:themeShade="BF"/>
      <w:lang w:val="es-ES"/>
    </w:rPr>
  </w:style>
  <w:style w:type="character" w:customStyle="1" w:styleId="Heading5Char">
    <w:name w:val="Heading 5 Char"/>
    <w:basedOn w:val="DefaultParagraphFont"/>
    <w:link w:val="Heading5"/>
    <w:uiPriority w:val="9"/>
    <w:semiHidden/>
    <w:qFormat/>
    <w:rsid w:val="00493996"/>
    <w:rPr>
      <w:rFonts w:asciiTheme="majorHAnsi" w:eastAsiaTheme="majorEastAsia" w:hAnsiTheme="majorHAnsi" w:cstheme="majorBidi"/>
      <w:color w:val="365F91" w:themeColor="accent1" w:themeShade="BF"/>
      <w:lang w:val="es-ES"/>
    </w:rPr>
  </w:style>
  <w:style w:type="character" w:customStyle="1" w:styleId="Heading6Char">
    <w:name w:val="Heading 6 Char"/>
    <w:basedOn w:val="DefaultParagraphFont"/>
    <w:link w:val="Heading6"/>
    <w:uiPriority w:val="9"/>
    <w:semiHidden/>
    <w:qFormat/>
    <w:rsid w:val="00493996"/>
    <w:rPr>
      <w:rFonts w:asciiTheme="majorHAnsi" w:eastAsiaTheme="majorEastAsia" w:hAnsiTheme="majorHAnsi" w:cstheme="majorBidi"/>
      <w:color w:val="243F60" w:themeColor="accent1" w:themeShade="7F"/>
      <w:lang w:val="es-ES"/>
    </w:rPr>
  </w:style>
  <w:style w:type="character" w:customStyle="1" w:styleId="Heading7Char">
    <w:name w:val="Heading 7 Char"/>
    <w:basedOn w:val="DefaultParagraphFont"/>
    <w:link w:val="Heading7"/>
    <w:uiPriority w:val="9"/>
    <w:semiHidden/>
    <w:qFormat/>
    <w:rsid w:val="00493996"/>
    <w:rPr>
      <w:rFonts w:asciiTheme="majorHAnsi" w:eastAsiaTheme="majorEastAsia" w:hAnsiTheme="majorHAnsi" w:cstheme="majorBidi"/>
      <w:i/>
      <w:iCs/>
      <w:color w:val="243F60" w:themeColor="accent1" w:themeShade="7F"/>
      <w:lang w:val="es-ES"/>
    </w:rPr>
  </w:style>
  <w:style w:type="character" w:customStyle="1" w:styleId="Heading8Char">
    <w:name w:val="Heading 8 Char"/>
    <w:basedOn w:val="DefaultParagraphFont"/>
    <w:link w:val="Heading8"/>
    <w:uiPriority w:val="9"/>
    <w:semiHidden/>
    <w:qFormat/>
    <w:rsid w:val="00493996"/>
    <w:rPr>
      <w:rFonts w:asciiTheme="majorHAnsi" w:eastAsiaTheme="majorEastAsia" w:hAnsiTheme="majorHAnsi" w:cstheme="majorBidi"/>
      <w:color w:val="272727" w:themeColor="text1" w:themeTint="D8"/>
      <w:sz w:val="21"/>
      <w:szCs w:val="21"/>
      <w:lang w:val="es-ES"/>
    </w:rPr>
  </w:style>
  <w:style w:type="character" w:customStyle="1" w:styleId="Heading9Char">
    <w:name w:val="Heading 9 Char"/>
    <w:basedOn w:val="DefaultParagraphFont"/>
    <w:link w:val="Heading9"/>
    <w:uiPriority w:val="9"/>
    <w:semiHidden/>
    <w:qFormat/>
    <w:rsid w:val="00493996"/>
    <w:rPr>
      <w:rFonts w:asciiTheme="majorHAnsi" w:eastAsiaTheme="majorEastAsia" w:hAnsiTheme="majorHAnsi" w:cstheme="majorBidi"/>
      <w:i/>
      <w:iCs/>
      <w:color w:val="272727" w:themeColor="text1" w:themeTint="D8"/>
      <w:sz w:val="21"/>
      <w:szCs w:val="21"/>
      <w:lang w:val="es-ES"/>
    </w:rPr>
  </w:style>
  <w:style w:type="character" w:styleId="IntenseEmphasis">
    <w:name w:val="Intense Emphasis"/>
    <w:basedOn w:val="DefaultParagraphFont"/>
    <w:uiPriority w:val="21"/>
    <w:qFormat/>
    <w:rsid w:val="00493996"/>
    <w:rPr>
      <w:i/>
      <w:iCs/>
      <w:color w:val="4F81BD" w:themeColor="accent1"/>
    </w:rPr>
  </w:style>
  <w:style w:type="character" w:customStyle="1" w:styleId="IntenseQuoteChar">
    <w:name w:val="Intense Quote Char"/>
    <w:basedOn w:val="DefaultParagraphFont"/>
    <w:link w:val="IntenseQuote"/>
    <w:uiPriority w:val="30"/>
    <w:qFormat/>
    <w:rsid w:val="00493996"/>
    <w:rPr>
      <w:rFonts w:ascii="Palatino Linotype" w:eastAsia="Palatino Linotype" w:hAnsi="Palatino Linotype" w:cs="Palatino Linotype"/>
      <w:i/>
      <w:iCs/>
      <w:color w:val="4F81BD" w:themeColor="accent1"/>
      <w:lang w:val="es-ES"/>
    </w:rPr>
  </w:style>
  <w:style w:type="character" w:styleId="IntenseReference">
    <w:name w:val="Intense Reference"/>
    <w:basedOn w:val="DefaultParagraphFont"/>
    <w:uiPriority w:val="32"/>
    <w:qFormat/>
    <w:rsid w:val="00493996"/>
    <w:rPr>
      <w:b/>
      <w:bCs/>
      <w:smallCaps/>
      <w:color w:val="4F81BD" w:themeColor="accent1"/>
      <w:spacing w:val="5"/>
    </w:rPr>
  </w:style>
  <w:style w:type="character" w:customStyle="1" w:styleId="QuoteChar">
    <w:name w:val="Quote Char"/>
    <w:basedOn w:val="DefaultParagraphFont"/>
    <w:link w:val="Quote"/>
    <w:uiPriority w:val="29"/>
    <w:qFormat/>
    <w:rsid w:val="00493996"/>
    <w:rPr>
      <w:rFonts w:ascii="Palatino Linotype" w:eastAsia="Palatino Linotype" w:hAnsi="Palatino Linotype" w:cs="Palatino Linotype"/>
      <w:i/>
      <w:iCs/>
      <w:color w:val="404040" w:themeColor="text1" w:themeTint="BF"/>
      <w:lang w:val="es-ES"/>
    </w:rPr>
  </w:style>
  <w:style w:type="character" w:styleId="Strong">
    <w:name w:val="Strong"/>
    <w:basedOn w:val="DefaultParagraphFont"/>
    <w:uiPriority w:val="22"/>
    <w:qFormat/>
    <w:rsid w:val="00493996"/>
    <w:rPr>
      <w:b/>
      <w:bCs/>
    </w:rPr>
  </w:style>
  <w:style w:type="character" w:customStyle="1" w:styleId="SubtitleChar">
    <w:name w:val="Subtitle Char"/>
    <w:basedOn w:val="DefaultParagraphFont"/>
    <w:link w:val="Subtitle"/>
    <w:uiPriority w:val="11"/>
    <w:qFormat/>
    <w:rsid w:val="00493996"/>
    <w:rPr>
      <w:rFonts w:eastAsiaTheme="minorEastAsia"/>
      <w:color w:val="5A5A5A" w:themeColor="text1" w:themeTint="A5"/>
      <w:spacing w:val="15"/>
      <w:lang w:val="es-ES"/>
    </w:rPr>
  </w:style>
  <w:style w:type="character" w:styleId="SubtleEmphasis">
    <w:name w:val="Subtle Emphasis"/>
    <w:basedOn w:val="DefaultParagraphFont"/>
    <w:uiPriority w:val="19"/>
    <w:qFormat/>
    <w:rsid w:val="00493996"/>
    <w:rPr>
      <w:i/>
      <w:iCs/>
      <w:color w:val="404040" w:themeColor="text1" w:themeTint="BF"/>
    </w:rPr>
  </w:style>
  <w:style w:type="character" w:styleId="SubtleReference">
    <w:name w:val="Subtle Reference"/>
    <w:basedOn w:val="DefaultParagraphFont"/>
    <w:uiPriority w:val="31"/>
    <w:qFormat/>
    <w:rsid w:val="00493996"/>
    <w:rPr>
      <w:smallCaps/>
      <w:color w:val="5A5A5A" w:themeColor="text1" w:themeTint="A5"/>
    </w:rPr>
  </w:style>
  <w:style w:type="character" w:styleId="Hyperlink">
    <w:name w:val="Hyperlink"/>
    <w:basedOn w:val="DefaultParagraphFont"/>
    <w:uiPriority w:val="99"/>
    <w:unhideWhenUsed/>
    <w:rsid w:val="0060764F"/>
    <w:rPr>
      <w:color w:val="0000FF" w:themeColor="hyperlink"/>
      <w:u w:val="single"/>
    </w:rPr>
  </w:style>
  <w:style w:type="character" w:customStyle="1" w:styleId="Enlacedelndice">
    <w:name w:val="Enlace del índice"/>
    <w:qFormat/>
  </w:style>
  <w:style w:type="paragraph" w:customStyle="1" w:styleId="Ttulo">
    <w:name w:val="Título"/>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uiPriority w:val="1"/>
    <w:qFormat/>
    <w:rPr>
      <w:i/>
      <w:iCs/>
    </w:rPr>
  </w:style>
  <w:style w:type="paragraph" w:styleId="List">
    <w:name w:val="List"/>
    <w:basedOn w:val="BodyText"/>
    <w:rPr>
      <w:rFonts w:cs="Noto Sans Devanagari"/>
    </w:rPr>
  </w:style>
  <w:style w:type="paragraph" w:styleId="Caption">
    <w:name w:val="caption"/>
    <w:basedOn w:val="Normal"/>
    <w:next w:val="Normal"/>
    <w:uiPriority w:val="35"/>
    <w:semiHidden/>
    <w:unhideWhenUsed/>
    <w:qFormat/>
    <w:rsid w:val="00493996"/>
    <w:pPr>
      <w:spacing w:after="200"/>
    </w:pPr>
    <w:rPr>
      <w:i/>
      <w:iCs/>
      <w:color w:val="1F497D" w:themeColor="text2"/>
      <w:sz w:val="18"/>
      <w:szCs w:val="18"/>
    </w:rPr>
  </w:style>
  <w:style w:type="paragraph" w:customStyle="1" w:styleId="ndice">
    <w:name w:val="Índice"/>
    <w:basedOn w:val="Normal"/>
    <w:qFormat/>
    <w:pPr>
      <w:suppressLineNumbers/>
    </w:pPr>
    <w:rPr>
      <w:rFonts w:cs="Noto Sans Devanagari"/>
    </w:rPr>
  </w:style>
  <w:style w:type="paragraph" w:styleId="TOC1">
    <w:name w:val="toc 1"/>
    <w:basedOn w:val="Normal"/>
    <w:uiPriority w:val="39"/>
    <w:qFormat/>
    <w:pPr>
      <w:spacing w:before="312"/>
      <w:ind w:left="497" w:hanging="327"/>
    </w:pPr>
    <w:rPr>
      <w:b/>
      <w:bCs/>
    </w:rPr>
  </w:style>
  <w:style w:type="paragraph" w:styleId="TOC2">
    <w:name w:val="toc 2"/>
    <w:basedOn w:val="Normal"/>
    <w:uiPriority w:val="39"/>
    <w:qFormat/>
    <w:pPr>
      <w:spacing w:before="94"/>
      <w:ind w:left="995" w:hanging="498"/>
    </w:pPr>
  </w:style>
  <w:style w:type="paragraph" w:styleId="TOC3">
    <w:name w:val="toc 3"/>
    <w:basedOn w:val="Normal"/>
    <w:uiPriority w:val="39"/>
    <w:qFormat/>
    <w:pPr>
      <w:spacing w:before="94"/>
      <w:ind w:left="1692" w:hanging="693"/>
    </w:pPr>
  </w:style>
  <w:style w:type="paragraph" w:styleId="Title">
    <w:name w:val="Title"/>
    <w:basedOn w:val="Normal"/>
    <w:uiPriority w:val="10"/>
    <w:qFormat/>
    <w:pPr>
      <w:spacing w:before="1"/>
      <w:ind w:left="944" w:right="799"/>
      <w:jc w:val="center"/>
    </w:pPr>
    <w:rPr>
      <w:b/>
      <w:bCs/>
      <w:sz w:val="34"/>
      <w:szCs w:val="34"/>
    </w:rPr>
  </w:style>
  <w:style w:type="paragraph" w:styleId="ListParagraph">
    <w:name w:val="List Paragraph"/>
    <w:basedOn w:val="Normal"/>
    <w:uiPriority w:val="1"/>
    <w:qFormat/>
    <w:pPr>
      <w:spacing w:before="106"/>
      <w:ind w:left="378" w:hanging="208"/>
    </w:pPr>
  </w:style>
  <w:style w:type="paragraph" w:customStyle="1" w:styleId="TableParagraph">
    <w:name w:val="Table Paragraph"/>
    <w:basedOn w:val="Normal"/>
    <w:uiPriority w:val="1"/>
    <w:qFormat/>
    <w:pPr>
      <w:spacing w:line="249" w:lineRule="exact"/>
      <w:ind w:left="122"/>
    </w:pPr>
  </w:style>
  <w:style w:type="paragraph" w:customStyle="1" w:styleId="Cabeceraypie">
    <w:name w:val="Cabecera y pie"/>
    <w:basedOn w:val="Normal"/>
    <w:qFormat/>
  </w:style>
  <w:style w:type="paragraph" w:styleId="Header">
    <w:name w:val="header"/>
    <w:basedOn w:val="Normal"/>
    <w:link w:val="HeaderChar"/>
    <w:uiPriority w:val="99"/>
    <w:unhideWhenUsed/>
    <w:rsid w:val="00962384"/>
    <w:pPr>
      <w:tabs>
        <w:tab w:val="center" w:pos="4252"/>
        <w:tab w:val="right" w:pos="8504"/>
      </w:tabs>
    </w:pPr>
  </w:style>
  <w:style w:type="paragraph" w:styleId="Footer">
    <w:name w:val="footer"/>
    <w:basedOn w:val="Normal"/>
    <w:link w:val="FooterChar"/>
    <w:uiPriority w:val="99"/>
    <w:unhideWhenUsed/>
    <w:rsid w:val="00962384"/>
    <w:pPr>
      <w:tabs>
        <w:tab w:val="center" w:pos="4252"/>
        <w:tab w:val="right" w:pos="8504"/>
      </w:tabs>
    </w:pPr>
  </w:style>
  <w:style w:type="paragraph" w:styleId="IntenseQuote">
    <w:name w:val="Intense Quote"/>
    <w:basedOn w:val="Normal"/>
    <w:next w:val="Normal"/>
    <w:link w:val="IntenseQuoteChar"/>
    <w:uiPriority w:val="30"/>
    <w:qFormat/>
    <w:rsid w:val="00493996"/>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paragraph" w:styleId="NoSpacing">
    <w:name w:val="No Spacing"/>
    <w:uiPriority w:val="1"/>
    <w:qFormat/>
    <w:rsid w:val="00493996"/>
    <w:pPr>
      <w:widowControl w:val="0"/>
    </w:pPr>
    <w:rPr>
      <w:rFonts w:ascii="Palatino Linotype" w:eastAsia="Palatino Linotype" w:hAnsi="Palatino Linotype" w:cs="Palatino Linotype"/>
      <w:lang w:val="es-ES"/>
    </w:rPr>
  </w:style>
  <w:style w:type="paragraph" w:styleId="Quote">
    <w:name w:val="Quote"/>
    <w:basedOn w:val="Normal"/>
    <w:next w:val="Normal"/>
    <w:link w:val="QuoteChar"/>
    <w:uiPriority w:val="29"/>
    <w:qFormat/>
    <w:rsid w:val="00493996"/>
    <w:pPr>
      <w:spacing w:before="200" w:after="160"/>
      <w:ind w:left="864" w:right="864"/>
      <w:jc w:val="center"/>
    </w:pPr>
    <w:rPr>
      <w:i/>
      <w:iCs/>
      <w:color w:val="404040" w:themeColor="text1" w:themeTint="BF"/>
    </w:rPr>
  </w:style>
  <w:style w:type="paragraph" w:styleId="Subtitle">
    <w:name w:val="Subtitle"/>
    <w:basedOn w:val="Normal"/>
    <w:next w:val="Normal"/>
    <w:link w:val="SubtitleChar"/>
    <w:uiPriority w:val="11"/>
    <w:qFormat/>
    <w:rsid w:val="00493996"/>
    <w:pPr>
      <w:spacing w:after="160"/>
    </w:pPr>
    <w:rPr>
      <w:rFonts w:asciiTheme="minorHAnsi" w:eastAsiaTheme="minorEastAsia" w:hAnsiTheme="minorHAnsi" w:cstheme="minorBidi"/>
      <w:color w:val="5A5A5A" w:themeColor="text1" w:themeTint="A5"/>
      <w:spacing w:val="15"/>
    </w:rPr>
  </w:style>
  <w:style w:type="paragraph" w:styleId="IndexHeading">
    <w:name w:val="index heading"/>
    <w:basedOn w:val="Ttulo"/>
  </w:style>
  <w:style w:type="paragraph" w:styleId="TOCHeading">
    <w:name w:val="TOC Heading"/>
    <w:basedOn w:val="Heading1"/>
    <w:next w:val="Normal"/>
    <w:uiPriority w:val="39"/>
    <w:semiHidden/>
    <w:unhideWhenUsed/>
    <w:qFormat/>
    <w:rsid w:val="00493996"/>
    <w:pPr>
      <w:keepNext/>
      <w:keepLines/>
      <w:spacing w:before="240"/>
      <w:ind w:left="0" w:firstLine="0"/>
      <w:outlineLvl w:val="9"/>
    </w:pPr>
    <w:rPr>
      <w:rFonts w:asciiTheme="majorHAnsi" w:eastAsiaTheme="majorEastAsia" w:hAnsiTheme="majorHAnsi" w:cstheme="majorBidi"/>
      <w:b w:val="0"/>
      <w:bCs w:val="0"/>
      <w:color w:val="365F91" w:themeColor="accent1" w:themeShade="BF"/>
      <w:sz w:val="32"/>
      <w:szCs w:val="32"/>
      <w:u w:val="none"/>
    </w:rPr>
  </w:style>
  <w:style w:type="paragraph" w:customStyle="1" w:styleId="Cabeceraizquierda">
    <w:name w:val="Cabecera izquierda"/>
    <w:basedOn w:val="Header"/>
    <w:qFormat/>
  </w:style>
  <w:style w:type="numbering" w:customStyle="1" w:styleId="Ningunalista">
    <w:name w:val="Ninguna lista"/>
    <w:uiPriority w:val="99"/>
    <w:semiHidden/>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2.png"/><Relationship Id="rId26"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4.png"/><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correo@dominio.edu.ar" TargetMode="External"/><Relationship Id="rId24" Type="http://schemas.openxmlformats.org/officeDocument/2006/relationships/image" Target="media/image8.png"/><Relationship Id="rId5" Type="http://schemas.openxmlformats.org/officeDocument/2006/relationships/styles" Target="styles.xml"/><Relationship Id="rId15" Type="http://schemas.openxmlformats.org/officeDocument/2006/relationships/footer" Target="footer2.xml"/><Relationship Id="rId23" Type="http://schemas.openxmlformats.org/officeDocument/2006/relationships/image" Target="media/image7.png"/><Relationship Id="rId28" Type="http://schemas.openxmlformats.org/officeDocument/2006/relationships/header" Target="header5.xml"/><Relationship Id="rId10" Type="http://schemas.openxmlformats.org/officeDocument/2006/relationships/image" Target="media/image1.png"/><Relationship Id="rId19" Type="http://schemas.openxmlformats.org/officeDocument/2006/relationships/image" Target="media/image3.png"/><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image" Target="media/image6.png"/><Relationship Id="rId27" Type="http://schemas.openxmlformats.org/officeDocument/2006/relationships/footer" Target="footer4.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F98D95B3C7764478220B4640544549A" ma:contentTypeVersion="12" ma:contentTypeDescription="Create a new document." ma:contentTypeScope="" ma:versionID="fdd2da79dca7eceea7526dc50efcfcf0">
  <xsd:schema xmlns:xsd="http://www.w3.org/2001/XMLSchema" xmlns:xs="http://www.w3.org/2001/XMLSchema" xmlns:p="http://schemas.microsoft.com/office/2006/metadata/properties" xmlns:ns2="e207eda7-c60a-4298-ac2b-86dd5bc7ae7a" xmlns:ns3="5af6e66d-d4a6-4409-b3f2-9172cbc29d4b" targetNamespace="http://schemas.microsoft.com/office/2006/metadata/properties" ma:root="true" ma:fieldsID="4881c84358a8dc26e9e0ecb88e466808" ns2:_="" ns3:_="">
    <xsd:import namespace="e207eda7-c60a-4298-ac2b-86dd5bc7ae7a"/>
    <xsd:import namespace="5af6e66d-d4a6-4409-b3f2-9172cbc29d4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07eda7-c60a-4298-ac2b-86dd5bc7ae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6f62536-3a25-4b8a-9b5d-7e17d0b0464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af6e66d-d4a6-4409-b3f2-9172cbc29d4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3b6336c-0b27-46de-820e-856c14d1331c}" ma:internalName="TaxCatchAll" ma:showField="CatchAllData" ma:web="5af6e66d-d4a6-4409-b3f2-9172cbc29d4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af6e66d-d4a6-4409-b3f2-9172cbc29d4b" xsi:nil="true"/>
    <lcf76f155ced4ddcb4097134ff3c332f xmlns="e207eda7-c60a-4298-ac2b-86dd5bc7ae7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68CBFD7-730D-4807-A8FE-650171BDBE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07eda7-c60a-4298-ac2b-86dd5bc7ae7a"/>
    <ds:schemaRef ds:uri="5af6e66d-d4a6-4409-b3f2-9172cbc29d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27E39EF-5F9F-4408-87A3-863B9FBA3BA0}">
  <ds:schemaRefs>
    <ds:schemaRef ds:uri="http://schemas.microsoft.com/sharepoint/v3/contenttype/forms"/>
  </ds:schemaRefs>
</ds:datastoreItem>
</file>

<file path=customXml/itemProps3.xml><?xml version="1.0" encoding="utf-8"?>
<ds:datastoreItem xmlns:ds="http://schemas.openxmlformats.org/officeDocument/2006/customXml" ds:itemID="{B22AB04D-01F1-4735-915C-9B50FA1BABFA}">
  <ds:schemaRefs>
    <ds:schemaRef ds:uri="http://schemas.microsoft.com/office/2006/metadata/properties"/>
    <ds:schemaRef ds:uri="http://schemas.microsoft.com/office/infopath/2007/PartnerControls"/>
    <ds:schemaRef ds:uri="5af6e66d-d4a6-4409-b3f2-9172cbc29d4b"/>
    <ds:schemaRef ds:uri="e207eda7-c60a-4298-ac2b-86dd5bc7ae7a"/>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22</Pages>
  <Words>8498</Words>
  <Characters>46745</Characters>
  <Application>Microsoft Office Word</Application>
  <DocSecurity>0</DocSecurity>
  <Lines>389</Lines>
  <Paragraphs>110</Paragraphs>
  <ScaleCrop>false</ScaleCrop>
  <HeadingPairs>
    <vt:vector size="2" baseType="variant">
      <vt:variant>
        <vt:lpstr>Title</vt:lpstr>
      </vt:variant>
      <vt:variant>
        <vt:i4>1</vt:i4>
      </vt:variant>
    </vt:vector>
  </HeadingPairs>
  <TitlesOfParts>
    <vt:vector size="1" baseType="lpstr">
      <vt:lpstr/>
    </vt:vector>
  </TitlesOfParts>
  <Company>Ford Motor Company</Company>
  <LinksUpToDate>false</LinksUpToDate>
  <CharactersWithSpaces>55133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Franco Malfetano</cp:lastModifiedBy>
  <cp:revision>17</cp:revision>
  <dcterms:created xsi:type="dcterms:W3CDTF">2026-05-28T18:24:00Z</dcterms:created>
  <dcterms:modified xsi:type="dcterms:W3CDTF">2026-10-02T18:35:00Z</dcterms:modified>
  <dc:language>es-AR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0x010100DF98D95B3C7764478220B4640544549A</vt:lpwstr>
  </property>
  <property fmtid="{D5CDD505-2E9C-101B-9397-08002B2CF9AE}" pid="3" name="Created">
    <vt:filetime>2026-05-28T00:00:00Z</vt:filetime>
  </property>
  <property fmtid="{D5CDD505-2E9C-101B-9397-08002B2CF9AE}" pid="4" name="Creator">
    <vt:lpwstr>LaTeX with hyperref</vt:lpwstr>
  </property>
  <property fmtid="{D5CDD505-2E9C-101B-9397-08002B2CF9AE}" pid="5" name="LastSaved">
    <vt:filetime>2026-05-28T00:00:00Z</vt:filetime>
  </property>
  <property fmtid="{D5CDD505-2E9C-101B-9397-08002B2CF9AE}" pid="6" name="MediaServiceImageTags">
    <vt:lpwstr/>
  </property>
  <property fmtid="{D5CDD505-2E9C-101B-9397-08002B2CF9AE}" pid="7" name="PTEX.Fullbanner">
    <vt:lpwstr>This is pdfTeX, Version 3.141592653-2.6-1.40.27 (TeX Live 2025) kpathsea version 6.4.1</vt:lpwstr>
  </property>
  <property fmtid="{D5CDD505-2E9C-101B-9397-08002B2CF9AE}" pid="8" name="Producer">
    <vt:lpwstr>pdfTeX-1.40.27</vt:lpwstr>
  </property>
</Properties>
</file>