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6FDB" w14:textId="77777777" w:rsidR="00905D92" w:rsidRDefault="003534B0">
      <w:pPr>
        <w:ind w:left="3226"/>
        <w:rPr>
          <w:rFonts w:ascii="Times New Roman"/>
          <w:sz w:val="20"/>
        </w:rPr>
      </w:pPr>
      <w:r>
        <w:rPr>
          <w:rFonts w:ascii="Times New Roman"/>
          <w:noProof/>
          <w:sz w:val="20"/>
        </w:rPr>
        <w:drawing>
          <wp:inline distT="0" distB="0" distL="0" distR="0" wp14:anchorId="6FAF7035" wp14:editId="6FAF7036">
            <wp:extent cx="1754703" cy="8983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754703" cy="898398"/>
                    </a:xfrm>
                    <a:prstGeom prst="rect">
                      <a:avLst/>
                    </a:prstGeom>
                  </pic:spPr>
                </pic:pic>
              </a:graphicData>
            </a:graphic>
          </wp:inline>
        </w:drawing>
      </w:r>
    </w:p>
    <w:p w14:paraId="6FAF6FDC" w14:textId="77777777" w:rsidR="00905D92" w:rsidRPr="00493996" w:rsidRDefault="003534B0">
      <w:pPr>
        <w:spacing w:before="236" w:line="302" w:lineRule="exact"/>
        <w:ind w:left="948" w:right="799"/>
        <w:jc w:val="center"/>
        <w:rPr>
          <w:sz w:val="24"/>
          <w:lang w:val="en-US"/>
        </w:rPr>
      </w:pPr>
      <w:r w:rsidRPr="00493996">
        <w:rPr>
          <w:w w:val="120"/>
          <w:sz w:val="24"/>
          <w:lang w:val="en-US"/>
        </w:rPr>
        <w:t>Ford</w:t>
      </w:r>
      <w:r w:rsidRPr="00493996">
        <w:rPr>
          <w:spacing w:val="15"/>
          <w:w w:val="120"/>
          <w:sz w:val="24"/>
          <w:lang w:val="en-US"/>
        </w:rPr>
        <w:t xml:space="preserve"> </w:t>
      </w:r>
      <w:r w:rsidRPr="00493996">
        <w:rPr>
          <w:spacing w:val="-2"/>
          <w:w w:val="120"/>
          <w:sz w:val="24"/>
          <w:lang w:val="en-US"/>
        </w:rPr>
        <w:t>Argentina</w:t>
      </w:r>
    </w:p>
    <w:p w14:paraId="6D9E1A94" w14:textId="77777777" w:rsidR="00905D92" w:rsidRPr="007E6B50" w:rsidRDefault="003534B0">
      <w:pPr>
        <w:spacing w:line="248" w:lineRule="atLeast"/>
        <w:ind w:left="171" w:right="24"/>
        <w:jc w:val="center"/>
        <w:rPr>
          <w:lang w:val="en-US"/>
        </w:rPr>
      </w:pPr>
      <w:r w:rsidRPr="007E6B50">
        <w:rPr>
          <w:spacing w:val="-2"/>
          <w:sz w:val="20"/>
          <w:szCs w:val="20"/>
          <w:lang w:val="en-US"/>
        </w:rPr>
        <w:t>Ford</w:t>
      </w:r>
      <w:r w:rsidRPr="007E6B50">
        <w:rPr>
          <w:spacing w:val="3"/>
          <w:sz w:val="20"/>
          <w:szCs w:val="20"/>
          <w:lang w:val="en-US"/>
        </w:rPr>
        <w:t xml:space="preserve"> </w:t>
      </w:r>
      <w:r w:rsidRPr="007E6B50">
        <w:rPr>
          <w:spacing w:val="-2"/>
          <w:sz w:val="20"/>
          <w:szCs w:val="20"/>
          <w:lang w:val="en-US"/>
        </w:rPr>
        <w:t>Innovation</w:t>
      </w:r>
      <w:r w:rsidRPr="007E6B50">
        <w:rPr>
          <w:spacing w:val="4"/>
          <w:sz w:val="20"/>
          <w:szCs w:val="20"/>
          <w:lang w:val="en-US"/>
        </w:rPr>
        <w:t xml:space="preserve"> </w:t>
      </w:r>
      <w:r w:rsidRPr="007E6B50">
        <w:rPr>
          <w:spacing w:val="-2"/>
          <w:sz w:val="20"/>
          <w:szCs w:val="20"/>
          <w:lang w:val="en-US"/>
        </w:rPr>
        <w:t>Challenge</w:t>
      </w:r>
      <w:r w:rsidRPr="007E6B50">
        <w:rPr>
          <w:spacing w:val="4"/>
          <w:sz w:val="20"/>
          <w:szCs w:val="20"/>
          <w:lang w:val="en-US"/>
        </w:rPr>
        <w:t xml:space="preserve"> </w:t>
      </w:r>
      <w:r w:rsidR="007E6B50" w:rsidRPr="007E6B50">
        <w:rPr>
          <w:spacing w:val="-2"/>
          <w:sz w:val="20"/>
          <w:szCs w:val="20"/>
          <w:lang w:val="en-US"/>
        </w:rPr>
        <w:t>III</w:t>
      </w:r>
      <w:r w:rsidR="007E6B50" w:rsidRPr="007E6B50">
        <w:rPr>
          <w:spacing w:val="4"/>
          <w:sz w:val="20"/>
          <w:szCs w:val="20"/>
          <w:lang w:val="en-US"/>
        </w:rPr>
        <w:t xml:space="preserve"> </w:t>
      </w:r>
      <w:r w:rsidR="007E6B50" w:rsidRPr="007E6B50">
        <w:rPr>
          <w:spacing w:val="-2"/>
          <w:sz w:val="20"/>
          <w:szCs w:val="20"/>
          <w:lang w:val="en-US"/>
        </w:rPr>
        <w:t>—</w:t>
      </w:r>
      <w:r w:rsidR="007E6B50" w:rsidRPr="007E6B50">
        <w:rPr>
          <w:spacing w:val="3"/>
          <w:sz w:val="20"/>
          <w:szCs w:val="20"/>
          <w:lang w:val="en-US"/>
        </w:rPr>
        <w:t xml:space="preserve"> </w:t>
      </w:r>
      <w:r w:rsidR="007E6B50" w:rsidRPr="007E6B50">
        <w:rPr>
          <w:spacing w:val="-2"/>
          <w:sz w:val="20"/>
          <w:szCs w:val="20"/>
          <w:lang w:val="en-US"/>
        </w:rPr>
        <w:t>AI</w:t>
      </w:r>
      <w:r w:rsidRPr="007E6B50">
        <w:rPr>
          <w:spacing w:val="4"/>
          <w:sz w:val="20"/>
          <w:szCs w:val="20"/>
          <w:lang w:val="en-US"/>
        </w:rPr>
        <w:t xml:space="preserve"> </w:t>
      </w:r>
      <w:r w:rsidRPr="007E6B50">
        <w:rPr>
          <w:spacing w:val="-2"/>
          <w:sz w:val="20"/>
          <w:szCs w:val="20"/>
          <w:lang w:val="en-US"/>
        </w:rPr>
        <w:t>Edition</w:t>
      </w:r>
      <w:r w:rsidRPr="007E6B50">
        <w:rPr>
          <w:spacing w:val="4"/>
          <w:sz w:val="20"/>
          <w:szCs w:val="20"/>
          <w:lang w:val="en-US"/>
        </w:rPr>
        <w:t xml:space="preserve"> </w:t>
      </w:r>
      <w:r w:rsidRPr="007E6B50">
        <w:rPr>
          <w:spacing w:val="-2"/>
          <w:sz w:val="20"/>
          <w:szCs w:val="20"/>
          <w:lang w:val="en-US"/>
        </w:rPr>
        <w:t>—</w:t>
      </w:r>
      <w:r w:rsidRPr="007E6B50">
        <w:rPr>
          <w:spacing w:val="4"/>
          <w:sz w:val="20"/>
          <w:szCs w:val="20"/>
          <w:lang w:val="en-US"/>
        </w:rPr>
        <w:t xml:space="preserve"> </w:t>
      </w:r>
      <w:r w:rsidRPr="007E6B50">
        <w:rPr>
          <w:spacing w:val="-4"/>
          <w:sz w:val="20"/>
          <w:szCs w:val="20"/>
          <w:lang w:val="en-US"/>
        </w:rPr>
        <w:t>2026</w:t>
      </w:r>
    </w:p>
    <w:p w14:paraId="6FAF6FDE" w14:textId="77777777" w:rsidR="00905D92" w:rsidRPr="00962384" w:rsidRDefault="00905D92">
      <w:pPr>
        <w:pStyle w:val="BodyText"/>
        <w:rPr>
          <w:i w:val="0"/>
          <w:sz w:val="20"/>
          <w:lang w:val="en-US"/>
        </w:rPr>
      </w:pPr>
    </w:p>
    <w:p w14:paraId="6FAF6FDF" w14:textId="77777777" w:rsidR="00905D92" w:rsidRPr="00962384" w:rsidRDefault="00905D92">
      <w:pPr>
        <w:pStyle w:val="BodyText"/>
        <w:rPr>
          <w:i w:val="0"/>
          <w:sz w:val="20"/>
          <w:lang w:val="en-US"/>
        </w:rPr>
      </w:pPr>
    </w:p>
    <w:p w14:paraId="6FAF6FE0" w14:textId="77777777" w:rsidR="00905D92" w:rsidRPr="00962384" w:rsidRDefault="00905D92">
      <w:pPr>
        <w:pStyle w:val="BodyText"/>
        <w:spacing w:before="193"/>
        <w:rPr>
          <w:i w:val="0"/>
          <w:sz w:val="20"/>
          <w:lang w:val="en-US"/>
        </w:rPr>
      </w:pPr>
    </w:p>
    <w:p w14:paraId="086488CA" w14:textId="77777777" w:rsidR="00905D92" w:rsidRPr="00CC77D9" w:rsidRDefault="003534B0" w:rsidP="00CC77D9">
      <w:pPr>
        <w:pStyle w:val="Title"/>
        <w:spacing w:line="228" w:lineRule="auto"/>
        <w:rPr>
          <w:lang w:val="en-US"/>
        </w:rPr>
      </w:pPr>
      <w:r w:rsidRPr="00962384">
        <w:rPr>
          <w:w w:val="105"/>
          <w:lang w:val="en-US"/>
        </w:rPr>
        <w:t xml:space="preserve">Ford Innovation Challenge </w:t>
      </w:r>
      <w:r w:rsidR="00CC77D9" w:rsidRPr="00CC77D9">
        <w:rPr>
          <w:lang w:val="en-US"/>
        </w:rPr>
        <w:t>III: AI</w:t>
      </w:r>
      <w:r w:rsidRPr="00962384">
        <w:rPr>
          <w:w w:val="105"/>
          <w:lang w:val="en-US"/>
        </w:rPr>
        <w:t xml:space="preserve"> Edition</w:t>
      </w:r>
    </w:p>
    <w:p w14:paraId="6FAF6FE2" w14:textId="77777777" w:rsidR="00905D92" w:rsidRDefault="003534B0">
      <w:pPr>
        <w:pStyle w:val="Title"/>
        <w:spacing w:before="208"/>
        <w:ind w:right="801"/>
      </w:pPr>
      <w:r>
        <w:rPr>
          <w:w w:val="105"/>
        </w:rPr>
        <w:t>Informe</w:t>
      </w:r>
      <w:r>
        <w:rPr>
          <w:spacing w:val="35"/>
          <w:w w:val="105"/>
        </w:rPr>
        <w:t xml:space="preserve"> </w:t>
      </w:r>
      <w:r>
        <w:rPr>
          <w:w w:val="105"/>
        </w:rPr>
        <w:t>de</w:t>
      </w:r>
      <w:r>
        <w:rPr>
          <w:spacing w:val="36"/>
          <w:w w:val="105"/>
        </w:rPr>
        <w:t xml:space="preserve"> </w:t>
      </w:r>
      <w:r>
        <w:rPr>
          <w:w w:val="105"/>
        </w:rPr>
        <w:t>la</w:t>
      </w:r>
      <w:r>
        <w:rPr>
          <w:spacing w:val="36"/>
          <w:w w:val="105"/>
        </w:rPr>
        <w:t xml:space="preserve"> </w:t>
      </w:r>
      <w:r>
        <w:rPr>
          <w:spacing w:val="-2"/>
          <w:w w:val="105"/>
        </w:rPr>
        <w:t>Solución</w:t>
      </w:r>
    </w:p>
    <w:p>
      <w:pPr>
        <w:spacing w:before="201"/>
        <w:ind w:left="171" w:right="9"/>
        <w:jc w:val="center"/>
        <w:rPr>
          <w:b/>
          <w:sz w:val="24"/>
        </w:rPr>
      </w:pPr>
      <w:r>
        <w:rPr>
          <w:b/>
          <w:w w:val="105"/>
          <w:sz w:val="24"/>
        </w:rPr>
        <w:t xml:space="preserve">Desafío 1: Data-Driven Repurchase based on Service Retention</w:t>
      </w:r>
    </w:p>
    <w:p>
      <w:pPr>
        <w:spacing w:before="138"/>
        <w:ind w:left="171"/>
        <w:jc w:val="center"/>
        <w:rPr>
          <w:b/>
        </w:rPr>
      </w:pPr>
      <w:r>
        <w:rPr>
          <w:b/>
          <w:w w:val="105"/>
        </w:rPr>
        <w:t xml:space="preserve">Equipo: SIMtec</w:t>
      </w:r>
    </w:p>
    <w:p w14:paraId="6FAF6FE5" w14:textId="77777777" w:rsidR="00905D92" w:rsidRDefault="00905D92">
      <w:pPr>
        <w:pStyle w:val="BodyText"/>
        <w:rPr>
          <w:b/>
          <w:i w:val="0"/>
          <w:sz w:val="20"/>
        </w:rPr>
      </w:pPr>
    </w:p>
    <w:p w14:paraId="6FAF6FE6" w14:textId="77777777" w:rsidR="00905D92" w:rsidRDefault="00905D92">
      <w:pPr>
        <w:pStyle w:val="BodyText"/>
        <w:rPr>
          <w:b/>
          <w:i w:val="0"/>
          <w:sz w:val="20"/>
        </w:rPr>
      </w:pPr>
    </w:p>
    <w:p w14:paraId="6FAF6FE7" w14:textId="77777777" w:rsidR="00905D92" w:rsidRDefault="00905D92">
      <w:pPr>
        <w:pStyle w:val="BodyText"/>
        <w:spacing w:before="12"/>
        <w:rPr>
          <w:b/>
          <w:i w:val="0"/>
          <w:sz w:val="2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6"/>
        <w:gridCol w:w="1563"/>
        <w:gridCol w:w="1103"/>
        <w:gridCol w:w="2420"/>
      </w:tblGrid>
      <w:tr w:rsidR="00905D92" w14:paraId="6FAF6FE9" w14:textId="77777777">
        <w:trPr>
          <w:trHeight w:val="268"/>
        </w:trPr>
        <w:tc>
          <w:tcPr>
            <w:tcW w:w="7372" w:type="dxa"/>
            <w:gridSpan w:val="4"/>
          </w:tcPr>
          <w:p w14:paraId="6FAF6FE8" w14:textId="77777777" w:rsidR="00905D92" w:rsidRDefault="003534B0">
            <w:pPr>
              <w:pStyle w:val="TableParagraph"/>
              <w:ind w:left="4"/>
              <w:jc w:val="center"/>
              <w:rPr>
                <w:b/>
              </w:rPr>
            </w:pPr>
            <w:bookmarkStart w:id="0" w:name="Índice"/>
            <w:bookmarkStart w:id="1" w:name="_bookmark0"/>
            <w:bookmarkEnd w:id="0"/>
            <w:bookmarkEnd w:id="1"/>
            <w:r>
              <w:rPr>
                <w:b/>
                <w:spacing w:val="-2"/>
                <w:w w:val="110"/>
              </w:rPr>
              <w:t>Integrantes</w:t>
            </w:r>
          </w:p>
        </w:tc>
      </w:tr>
      <w:tr w:rsidR="00905D92" w14:paraId="6FAF6FEE" w14:textId="77777777">
        <w:trPr>
          <w:trHeight w:val="268"/>
        </w:trPr>
        <w:tc>
          <w:tcPr>
            <w:tcW w:w="2286" w:type="dxa"/>
          </w:tcPr>
          <w:p w14:paraId="6FAF6FEA" w14:textId="77777777" w:rsidR="00905D92" w:rsidRDefault="003534B0">
            <w:pPr>
              <w:pStyle w:val="TableParagraph"/>
              <w:rPr>
                <w:b/>
              </w:rPr>
            </w:pPr>
            <w:r>
              <w:rPr>
                <w:b/>
                <w:w w:val="105"/>
              </w:rPr>
              <w:t>Nombre</w:t>
            </w:r>
            <w:r>
              <w:rPr>
                <w:b/>
                <w:spacing w:val="28"/>
                <w:w w:val="105"/>
              </w:rPr>
              <w:t xml:space="preserve"> </w:t>
            </w:r>
            <w:r>
              <w:rPr>
                <w:b/>
                <w:w w:val="105"/>
              </w:rPr>
              <w:t>y</w:t>
            </w:r>
            <w:r>
              <w:rPr>
                <w:b/>
                <w:spacing w:val="29"/>
                <w:w w:val="105"/>
              </w:rPr>
              <w:t xml:space="preserve"> </w:t>
            </w:r>
            <w:r>
              <w:rPr>
                <w:b/>
                <w:spacing w:val="-2"/>
                <w:w w:val="105"/>
              </w:rPr>
              <w:t>apellido</w:t>
            </w:r>
          </w:p>
        </w:tc>
        <w:tc>
          <w:tcPr>
            <w:tcW w:w="1563" w:type="dxa"/>
          </w:tcPr>
          <w:p w14:paraId="6FAF6FEB" w14:textId="77777777" w:rsidR="00905D92" w:rsidRDefault="003534B0">
            <w:pPr>
              <w:pStyle w:val="TableParagraph"/>
              <w:rPr>
                <w:b/>
              </w:rPr>
            </w:pPr>
            <w:r>
              <w:rPr>
                <w:b/>
                <w:spacing w:val="-2"/>
                <w:w w:val="105"/>
              </w:rPr>
              <w:t>Universidad</w:t>
            </w:r>
          </w:p>
        </w:tc>
        <w:tc>
          <w:tcPr>
            <w:tcW w:w="1103" w:type="dxa"/>
          </w:tcPr>
          <w:p w14:paraId="6FAF6FEC" w14:textId="77777777" w:rsidR="00905D92" w:rsidRDefault="003534B0">
            <w:pPr>
              <w:pStyle w:val="TableParagraph"/>
              <w:ind w:left="0"/>
              <w:jc w:val="center"/>
              <w:rPr>
                <w:b/>
              </w:rPr>
            </w:pPr>
            <w:r>
              <w:rPr>
                <w:b/>
                <w:spacing w:val="-2"/>
                <w:w w:val="115"/>
              </w:rPr>
              <w:t>Carrera</w:t>
            </w:r>
          </w:p>
        </w:tc>
        <w:tc>
          <w:tcPr>
            <w:tcW w:w="2420" w:type="dxa"/>
          </w:tcPr>
          <w:p w14:paraId="6FAF6FED" w14:textId="77777777" w:rsidR="00905D92" w:rsidRDefault="003534B0">
            <w:pPr>
              <w:pStyle w:val="TableParagraph"/>
              <w:ind w:left="120"/>
              <w:rPr>
                <w:b/>
              </w:rPr>
            </w:pPr>
            <w:r>
              <w:rPr>
                <w:b/>
                <w:w w:val="110"/>
              </w:rPr>
              <w:t>Correo</w:t>
            </w:r>
            <w:r>
              <w:rPr>
                <w:b/>
                <w:spacing w:val="22"/>
                <w:w w:val="110"/>
              </w:rPr>
              <w:t xml:space="preserve"> </w:t>
            </w:r>
            <w:r>
              <w:rPr>
                <w:b/>
                <w:spacing w:val="-2"/>
                <w:w w:val="110"/>
              </w:rPr>
              <w:t>electrónico</w:t>
            </w:r>
          </w:p>
        </w:tc>
      </w:tr>
      <w:tr w:rsidR="00905D92" w14:paraId="6FAF6FF3" w14:textId="77777777">
        <w:trPr>
          <w:trHeight w:val="268"/>
        </w:trPr>
        <w:tc>
          <w:tcPr>
            <w:tcW w:w="2286" w:type="dxa"/>
          </w:tcPr>
          <w:p w14:paraId="6FAF6FEF" w14:textId="77777777" w:rsidR="00905D92" w:rsidRDefault="003534B0">
            <w:pPr>
              <w:pStyle w:val="TableParagraph"/>
            </w:pPr>
            <w:r>
              <w:rPr>
                <w:spacing w:val="-6"/>
              </w:rPr>
              <w:t>Malfetano,</w:t>
            </w:r>
            <w:r>
              <w:rPr>
                <w:spacing w:val="6"/>
              </w:rPr>
              <w:t xml:space="preserve"> </w:t>
            </w:r>
            <w:r>
              <w:rPr>
                <w:spacing w:val="-2"/>
              </w:rPr>
              <w:t>Franco Tomás</w:t>
            </w:r>
          </w:p>
        </w:tc>
        <w:tc>
          <w:tcPr>
            <w:tcW w:w="1563" w:type="dxa"/>
          </w:tcPr>
          <w:p w14:paraId="6FAF6FF0" w14:textId="77777777" w:rsidR="00905D92" w:rsidRDefault="003534B0">
            <w:pPr>
              <w:pStyle w:val="TableParagraph"/>
            </w:pPr>
            <w:r>
              <w:rPr>
                <w:spacing w:val="-2"/>
              </w:rPr>
              <w:t>Universidad</w:t>
            </w:r>
          </w:p>
        </w:tc>
        <w:tc>
          <w:tcPr>
            <w:tcW w:w="1103" w:type="dxa"/>
          </w:tcPr>
          <w:p w14:paraId="6FAF6FF1" w14:textId="77777777" w:rsidR="00905D92" w:rsidRDefault="003534B0">
            <w:pPr>
              <w:pStyle w:val="TableParagraph"/>
              <w:ind w:left="0" w:right="118"/>
              <w:jc w:val="center"/>
            </w:pPr>
            <w:r>
              <w:rPr>
                <w:spacing w:val="-2"/>
              </w:rPr>
              <w:t>Carrera</w:t>
            </w:r>
          </w:p>
        </w:tc>
        <w:tc>
          <w:tcPr>
            <w:tcW w:w="2420" w:type="dxa"/>
          </w:tcPr>
          <w:p w14:paraId="6FAF6FF2" w14:textId="77777777" w:rsidR="00905D92" w:rsidRDefault="003534B0">
            <w:pPr>
              <w:pStyle w:val="TableParagraph"/>
              <w:ind w:left="120"/>
            </w:pPr>
            <w:hyperlink r:id="rId11">
              <w:r>
                <w:rPr>
                  <w:spacing w:val="-2"/>
                </w:rPr>
                <w:t>franmalfe@gmail.com</w:t>
              </w:r>
            </w:hyperlink>
          </w:p>
        </w:tc>
      </w:tr>
      <w:tr w:rsidR="00905D92" w14:paraId="6FAF6FF8" w14:textId="77777777">
        <w:trPr>
          <w:trHeight w:val="268"/>
        </w:trPr>
        <w:tc>
          <w:tcPr>
            <w:tcW w:w="2286" w:type="dxa"/>
          </w:tcPr>
          <w:p w14:paraId="6FAF6FF4" w14:textId="77777777" w:rsidR="00905D92" w:rsidRDefault="003534B0">
            <w:pPr>
              <w:pStyle w:val="TableParagraph"/>
            </w:pPr>
            <w:r>
              <w:rPr>
                <w:spacing w:val="-6"/>
              </w:rPr>
              <w:t>Apellido,</w:t>
            </w:r>
            <w:r>
              <w:rPr>
                <w:spacing w:val="6"/>
              </w:rPr>
              <w:t xml:space="preserve"> </w:t>
            </w:r>
            <w:r>
              <w:rPr>
                <w:spacing w:val="-2"/>
              </w:rPr>
              <w:t>Nombre</w:t>
            </w:r>
          </w:p>
        </w:tc>
        <w:tc>
          <w:tcPr>
            <w:tcW w:w="1563" w:type="dxa"/>
          </w:tcPr>
          <w:p w14:paraId="6FAF6FF5" w14:textId="77777777" w:rsidR="00905D92" w:rsidRDefault="003534B0">
            <w:pPr>
              <w:pStyle w:val="TableParagraph"/>
            </w:pPr>
            <w:r>
              <w:rPr>
                <w:spacing w:val="-2"/>
              </w:rPr>
              <w:t>Universidad</w:t>
            </w:r>
          </w:p>
        </w:tc>
        <w:tc>
          <w:tcPr>
            <w:tcW w:w="1103" w:type="dxa"/>
          </w:tcPr>
          <w:p w14:paraId="6FAF6FF6" w14:textId="77777777" w:rsidR="00905D92" w:rsidRDefault="003534B0">
            <w:pPr>
              <w:pStyle w:val="TableParagraph"/>
              <w:ind w:left="0" w:right="118"/>
              <w:jc w:val="center"/>
            </w:pPr>
            <w:r>
              <w:rPr>
                <w:spacing w:val="-2"/>
              </w:rPr>
              <w:t>Carrera</w:t>
            </w:r>
          </w:p>
        </w:tc>
        <w:tc>
          <w:tcPr>
            <w:tcW w:w="2420" w:type="dxa"/>
          </w:tcPr>
          <w:p w14:paraId="6FAF6FF7" w14:textId="77777777" w:rsidR="00905D92" w:rsidRDefault="003534B0">
            <w:pPr>
              <w:pStyle w:val="TableParagraph"/>
              <w:ind w:left="120"/>
            </w:pPr>
            <w:hyperlink r:id="rId12">
              <w:r>
                <w:rPr>
                  <w:spacing w:val="-2"/>
                </w:rPr>
                <w:t>correo@dominio.edu.ar</w:t>
              </w:r>
            </w:hyperlink>
          </w:p>
        </w:tc>
      </w:tr>
      <w:tr w:rsidR="00905D92" w14:paraId="6FAF6FFD" w14:textId="77777777">
        <w:trPr>
          <w:trHeight w:val="268"/>
        </w:trPr>
        <w:tc>
          <w:tcPr>
            <w:tcW w:w="2286" w:type="dxa"/>
          </w:tcPr>
          <w:p w14:paraId="6FAF6FF9" w14:textId="77777777" w:rsidR="00905D92" w:rsidRDefault="003534B0">
            <w:pPr>
              <w:pStyle w:val="TableParagraph"/>
            </w:pPr>
            <w:r>
              <w:rPr>
                <w:spacing w:val="-6"/>
              </w:rPr>
              <w:t>Apellido,</w:t>
            </w:r>
            <w:r>
              <w:rPr>
                <w:spacing w:val="6"/>
              </w:rPr>
              <w:t xml:space="preserve"> </w:t>
            </w:r>
            <w:r>
              <w:rPr>
                <w:spacing w:val="-2"/>
              </w:rPr>
              <w:t>Nombre</w:t>
            </w:r>
          </w:p>
        </w:tc>
        <w:tc>
          <w:tcPr>
            <w:tcW w:w="1563" w:type="dxa"/>
          </w:tcPr>
          <w:p w14:paraId="6FAF6FFA" w14:textId="77777777" w:rsidR="00905D92" w:rsidRDefault="003534B0">
            <w:pPr>
              <w:pStyle w:val="TableParagraph"/>
            </w:pPr>
            <w:r>
              <w:rPr>
                <w:spacing w:val="-2"/>
              </w:rPr>
              <w:t>Universidad</w:t>
            </w:r>
          </w:p>
        </w:tc>
        <w:tc>
          <w:tcPr>
            <w:tcW w:w="1103" w:type="dxa"/>
          </w:tcPr>
          <w:p w14:paraId="6FAF6FFB" w14:textId="77777777" w:rsidR="00905D92" w:rsidRDefault="003534B0">
            <w:pPr>
              <w:pStyle w:val="TableParagraph"/>
              <w:ind w:left="0" w:right="118"/>
              <w:jc w:val="center"/>
            </w:pPr>
            <w:r>
              <w:rPr>
                <w:spacing w:val="-2"/>
              </w:rPr>
              <w:t>Carrera</w:t>
            </w:r>
          </w:p>
        </w:tc>
        <w:tc>
          <w:tcPr>
            <w:tcW w:w="2420" w:type="dxa"/>
          </w:tcPr>
          <w:p w14:paraId="6FAF6FFC" w14:textId="77777777" w:rsidR="00905D92" w:rsidRDefault="003534B0">
            <w:pPr>
              <w:pStyle w:val="TableParagraph"/>
              <w:ind w:left="120"/>
            </w:pPr>
            <w:hyperlink r:id="rId13">
              <w:r>
                <w:rPr>
                  <w:spacing w:val="-2"/>
                </w:rPr>
                <w:t>correo@dominio.edu.ar</w:t>
              </w:r>
            </w:hyperlink>
          </w:p>
        </w:tc>
      </w:tr>
    </w:tbl>
    <w:p w14:paraId="6FAF7003" w14:textId="77777777" w:rsidR="00905D92" w:rsidRDefault="00905D92">
      <w:pPr>
        <w:pStyle w:val="TableParagraph"/>
        <w:sectPr w:rsidR="00905D92">
          <w:headerReference w:type="even" r:id="rId14"/>
          <w:headerReference w:type="default" r:id="rId15"/>
          <w:footerReference w:type="even" r:id="rId16"/>
          <w:footerReference w:type="default" r:id="rId17"/>
          <w:headerReference w:type="first" r:id="rId18"/>
          <w:footerReference w:type="first" r:id="rId19"/>
          <w:type w:val="continuous"/>
          <w:pgSz w:w="11910" w:h="16840"/>
          <w:pgMar w:top="1400" w:right="1559" w:bottom="280" w:left="1417" w:header="720" w:footer="720" w:gutter="0"/>
          <w:cols w:space="720"/>
        </w:sectPr>
      </w:pPr>
    </w:p>
    <w:p w14:paraId="6FAF7004" w14:textId="77777777" w:rsidR="00905D92" w:rsidRDefault="003534B0">
      <w:pPr>
        <w:pStyle w:val="Heading1"/>
        <w:tabs>
          <w:tab w:val="left" w:pos="8901"/>
        </w:tabs>
        <w:ind w:left="170" w:firstLine="0"/>
        <w:rPr>
          <w:u w:val="none"/>
        </w:rPr>
      </w:pPr>
      <w:r>
        <w:rPr>
          <w:spacing w:val="-2"/>
          <w:w w:val="105"/>
        </w:rPr>
        <w:t>Índice</w:t>
      </w:r>
      <w:r>
        <w:tab/>
      </w:r>
    </w:p>
    <w:sdt>
      <w:sdtPr>
        <w:id w:val="312062265"/>
        <w:docPartObj>
          <w:docPartGallery w:val="Table of Contents"/>
          <w:docPartUnique/>
        </w:docPartObj>
      </w:sdtPr>
      <w:sdtEndPr/>
      <w:sdtContent>
        <w:p>
          <w:pPr>
            <w:pStyle w:val="TOC1"/>
            <w:tabs>
              <w:tab w:val="right" w:leader="dot" w:pos="8901"/>
            </w:tabs>
            <w:ind w:left="170"/>
          </w:pPr>
          <w:r>
            <w:fldChar w:fldCharType="begin" w:dirty="true"/>
          </w:r>
          <w:r>
            <w:instrText xml:space="preserve"> TOC \o "1-3" \h \z \u \b cuerpo_informe </w:instrText>
          </w:r>
          <w:r>
            <w:fldChar w:fldCharType="separate"/>
          </w:r>
          <w:r>
            <w:t>Actualizar campo (F9) para generar el índice.</w:t>
          </w:r>
          <w:r>
            <w:fldChar w:fldCharType="end"/>
          </w:r>
        </w:p>
      </w:sdtContent>
    </w:sdt>
    <w:p>
      <w:r>
        <w:br w:type="page"/>
      </w:r>
    </w:p>
    <w:bookmarkStart w:id="900" w:name="cuerpo_informe"/>
    <w:p w14:paraId="6FAF7011" w14:textId="77777777" w:rsidR="00905D92" w:rsidRDefault="003534B0">
      <w:pPr>
        <w:pStyle w:val="Heading1"/>
        <w:numPr>
          <w:ilvl w:val="0"/>
          <w:numId w:val="2"/>
        </w:numPr>
        <w:tabs>
          <w:tab w:val="left" w:pos="378"/>
          <w:tab w:val="left" w:pos="8901"/>
        </w:tabs>
        <w:ind w:left="378" w:hanging="208"/>
        <w:rPr>
          <w:u w:val="none"/>
        </w:rPr>
      </w:pPr>
      <w:bookmarkStart w:id="2" w:name="Descripción_del_Desafío"/>
      <w:bookmarkStart w:id="3" w:name="_bookmark1"/>
      <w:bookmarkEnd w:id="2"/>
      <w:bookmarkEnd w:id="3"/>
      <w:r>
        <w:rPr>
          <w:spacing w:val="64"/>
          <w:w w:val="150"/>
        </w:rPr>
        <w:t xml:space="preserve"> </w:t>
      </w:r>
      <w:r>
        <w:t>Descripción</w:t>
      </w:r>
      <w:r>
        <w:rPr>
          <w:spacing w:val="42"/>
        </w:rPr>
        <w:t xml:space="preserve"> </w:t>
      </w:r>
      <w:r>
        <w:t>del</w:t>
      </w:r>
      <w:r>
        <w:rPr>
          <w:spacing w:val="42"/>
        </w:rPr>
        <w:t xml:space="preserve"> </w:t>
      </w:r>
      <w:r>
        <w:rPr>
          <w:spacing w:val="-2"/>
        </w:rPr>
        <w:t>Desafío</w:t>
      </w:r>
      <w:r>
        <w:tab/>
      </w:r>
    </w:p>
    <w:p>
      <w:pPr>
        <w:pStyle w:val="BodyText"/>
        <w:spacing w:before="90" w:line="264" w:lineRule="auto"/>
        <w:ind w:left="170" w:right="120"/>
        <w:jc w:val="both"/>
      </w:pPr>
      <w:r>
        <w:rPr>
          <w:b/>
          <w:bCs/>
          <w:i w:val="0"/>
          <w:iCs w:val="0"/>
          <w:sz w:val="20"/>
          <w:szCs w:val="20"/>
        </w:rPr>
        <w:t xml:space="preserve">Desafío 1 — Data-Driven Repurchase based on Service Retention: predicción de retorno a la red oficial en ventana de servicio.</w:t>
      </w:r>
      <w:r>
        <w:rPr>
          <w:i w:val="0"/>
          <w:iCs w:val="0"/>
          <w:sz w:val="20"/>
          <w:szCs w:val="20"/>
        </w:rPr>
        <w:t xml:space="preserve"> Área: Customer Experience &amp; Data Strategy, Posventa / Retención de Servicio. Mentor y SPOC: Facundo Bertolosso.</w:t>
      </w:r>
    </w:p>
    <w:p>
      <w:pPr>
        <w:pStyle w:val="BodyText"/>
        <w:spacing w:before="90" w:line="264" w:lineRule="auto"/>
        <w:ind w:left="170" w:right="120"/>
        <w:jc w:val="both"/>
      </w:pPr>
      <w:r>
        <w:rPr>
          <w:i w:val="0"/>
          <w:iCs w:val="0"/>
          <w:sz w:val="20"/>
          <w:szCs w:val="20"/>
        </w:rPr>
        <w:t xml:space="preserve">Ford quiere construir relaciones que duren toda la vida del cliente, y cada interacción de posventa es la que convierte una compra en lealtad. Hoy, cuando un vehículo entra en su ventana de mantenimiento, la red lo contacta con reglas de tiempo, kilometraje y vencimiento que identifican elegibilidad pero no distinguen el riesgo individual: dos usuarios reciben el mismo tratamiento aunque uno vuelva solo y el otro esté por abandonar la red. El churn se reconoce tarde, cuando la ventana termina sin un mantenimiento programado completado.</w:t>
      </w:r>
    </w:p>
    <w:p>
      <w:pPr>
        <w:pStyle w:val="BodyText"/>
        <w:spacing w:before="90" w:line="264" w:lineRule="auto"/>
        <w:ind w:left="170" w:right="120"/>
        <w:jc w:val="both"/>
      </w:pPr>
      <w:r>
        <w:rPr>
          <w:i w:val="0"/>
          <w:iCs w:val="0"/>
          <w:sz w:val="20"/>
          <w:szCs w:val="20"/>
        </w:rPr>
        <w:t xml:space="preserve">La ficha técnica del desafío pide un modelo que, </w:t>
      </w:r>
      <w:r>
        <w:rPr>
          <w:b/>
          <w:bCs/>
          <w:i w:val="0"/>
          <w:iCs w:val="0"/>
          <w:sz w:val="20"/>
          <w:szCs w:val="20"/>
        </w:rPr>
        <w:t xml:space="preserve">para cada usuario con al menos un vehículo dentro de la ventana de servicio, estime la probabilidad de churn</w:t>
      </w:r>
      <w:r>
        <w:rPr>
          <w:i w:val="0"/>
          <w:iCs w:val="0"/>
          <w:sz w:val="20"/>
          <w:szCs w:val="20"/>
        </w:rPr>
        <w:t xml:space="preserve">, definida como no completar el próximo mantenimiento programado en la red oficial dentro del horizonte definido por negocio. La unidad de observación es usuario–vehículo (VIN)–ventana, con vista consolidada por usuario cuando tiene varios VIN. El output mínimo es: customer_id y vehicle_id seudonimizados, fecha de scoring, probabilidad entre 0 y 1, segmento de riesgo y principales drivers. Restricciones: ninguna variable posterior a la fecha de scoring puede ser feature, validación separada por fecha, probabilidades calibradas, explicabilidad auditable y reproducibilidad. Se evalúan nueve criterios: formulación de población, ventana y target; ausencia de leakage y validación temporal; poder predictivo (ROC-AUC y especialmente PR-AUC, precisión y recall sobre churn, lift por deciles, recall a capacidad de contacto); calibración; explicabilidad; accionabilidad e integración; viabilidad y reproducibilidad; innovación; y claridad del pitch.</w:t>
      </w:r>
    </w:p>
    <w:p>
      <w:pPr>
        <w:pStyle w:val="BodyText"/>
        <w:spacing w:before="90" w:line="264" w:lineRule="auto"/>
        <w:ind w:left="170" w:right="120"/>
        <w:jc w:val="both"/>
      </w:pPr>
      <w:r>
        <w:rPr>
          <w:b/>
          <w:bCs/>
          <w:i w:val="0"/>
          <w:iCs w:val="0"/>
          <w:sz w:val="20"/>
          <w:szCs w:val="20"/>
        </w:rPr>
        <w:t xml:space="preserve">Datos recibidos</w:t>
      </w:r>
      <w:r>
        <w:rPr>
          <w:i w:val="0"/>
          <w:iCs w:val="0"/>
          <w:sz w:val="20"/>
          <w:szCs w:val="20"/>
        </w:rPr>
        <w:t xml:space="preserve">: dos extractos seudonimizados de BigQuery. Ventas Ranger Argentina 2024-2026 (59.384 vehículos 0 km, 45.959 compradores) y Agenda Ford 2024-2026 (631.623 ítems de servicio que consolidan en 492.442 turnos de 111.752 vehículos de todo el parque Ranger, 95 concesionarios). Corte de datos: 25/08/2026. No hay CRM, DMS, campañas, web ni telemetría.</w:t>
      </w:r>
    </w:p>
    <w:p>
      <w:pPr>
        <w:pStyle w:val="BodyText"/>
        <w:spacing w:before="90" w:line="264" w:lineRule="auto"/>
        <w:ind w:left="170" w:right="120"/>
        <w:jc w:val="both"/>
      </w:pPr>
      <w:r>
        <w:rPr>
          <w:i w:val="0"/>
          <w:iCs w:val="0"/>
          <w:sz w:val="20"/>
          <w:szCs w:val="20"/>
        </w:rPr>
        <w:t xml:space="preserve">Nota sobre el título: el resumen público habla de "Repurchase Propensity". La ficha técnica lo precisa como retención de service, porque el service es el punto de contacto que sostiene la recompra. En el dataset no existe una variable de recompra; sí existe, y la usamos como evidencia complementaria, el cruce entre dueños de Ranger vistos en la agenda y compradores posteriores de una 0 km (sección 2.2).</w:t>
      </w:r>
    </w:p>
    <w:p>
      <w:r>
        <w:br w:type="page"/>
      </w:r>
    </w:p>
    <w:p w14:paraId="6FAF7015" w14:textId="77777777" w:rsidR="00905D92" w:rsidRDefault="003534B0">
      <w:pPr>
        <w:pStyle w:val="Heading1"/>
        <w:numPr>
          <w:ilvl w:val="0"/>
          <w:numId w:val="2"/>
        </w:numPr>
        <w:tabs>
          <w:tab w:val="left" w:pos="378"/>
          <w:tab w:val="left" w:pos="8901"/>
        </w:tabs>
        <w:ind w:left="378" w:hanging="208"/>
        <w:rPr>
          <w:u w:val="none"/>
        </w:rPr>
      </w:pPr>
      <w:bookmarkStart w:id="4" w:name="Descripción_de_la_Solución"/>
      <w:bookmarkStart w:id="5" w:name="_bookmark2"/>
      <w:bookmarkEnd w:id="4"/>
      <w:bookmarkEnd w:id="5"/>
      <w:r>
        <w:rPr>
          <w:spacing w:val="62"/>
          <w:w w:val="150"/>
        </w:rPr>
        <w:t xml:space="preserve"> </w:t>
      </w:r>
      <w:r>
        <w:t>Descripción</w:t>
      </w:r>
      <w:r>
        <w:rPr>
          <w:spacing w:val="42"/>
        </w:rPr>
        <w:t xml:space="preserve"> </w:t>
      </w:r>
      <w:r>
        <w:t>de</w:t>
      </w:r>
      <w:r>
        <w:rPr>
          <w:spacing w:val="41"/>
        </w:rPr>
        <w:t xml:space="preserve"> </w:t>
      </w:r>
      <w:r>
        <w:t>la</w:t>
      </w:r>
      <w:r>
        <w:rPr>
          <w:spacing w:val="41"/>
        </w:rPr>
        <w:t xml:space="preserve"> </w:t>
      </w:r>
      <w:r>
        <w:rPr>
          <w:spacing w:val="-2"/>
        </w:rPr>
        <w:t>Solución</w:t>
      </w:r>
      <w:r>
        <w:tab/>
      </w:r>
    </w:p>
    <w:p w14:paraId="6FAF7016" w14:textId="77777777" w:rsidR="00905D92" w:rsidRDefault="003534B0">
      <w:pPr>
        <w:pStyle w:val="Heading2"/>
        <w:numPr>
          <w:ilvl w:val="1"/>
          <w:numId w:val="2"/>
        </w:numPr>
        <w:tabs>
          <w:tab w:val="left" w:pos="615"/>
        </w:tabs>
        <w:spacing w:before="218"/>
        <w:ind w:left="615" w:hanging="445"/>
      </w:pPr>
      <w:bookmarkStart w:id="6" w:name="Resumen_Ejecutivo_de_la_Solución"/>
      <w:bookmarkStart w:id="7" w:name="_bookmark3"/>
      <w:bookmarkEnd w:id="6"/>
      <w:bookmarkEnd w:id="7"/>
      <w:r>
        <w:rPr>
          <w:w w:val="105"/>
        </w:rPr>
        <w:t>Resumen</w:t>
      </w:r>
      <w:r>
        <w:rPr>
          <w:spacing w:val="34"/>
          <w:w w:val="105"/>
        </w:rPr>
        <w:t xml:space="preserve"> </w:t>
      </w:r>
      <w:r>
        <w:rPr>
          <w:w w:val="105"/>
        </w:rPr>
        <w:t>Ejecutivo</w:t>
      </w:r>
      <w:r>
        <w:rPr>
          <w:spacing w:val="35"/>
          <w:w w:val="105"/>
        </w:rPr>
        <w:t xml:space="preserve"> </w:t>
      </w:r>
      <w:r>
        <w:rPr>
          <w:w w:val="105"/>
        </w:rPr>
        <w:t>de</w:t>
      </w:r>
      <w:r>
        <w:rPr>
          <w:spacing w:val="35"/>
          <w:w w:val="105"/>
        </w:rPr>
        <w:t xml:space="preserve"> </w:t>
      </w:r>
      <w:r>
        <w:rPr>
          <w:w w:val="105"/>
        </w:rPr>
        <w:t>la</w:t>
      </w:r>
      <w:r>
        <w:rPr>
          <w:spacing w:val="35"/>
          <w:w w:val="105"/>
        </w:rPr>
        <w:t xml:space="preserve"> </w:t>
      </w:r>
      <w:r>
        <w:rPr>
          <w:spacing w:val="-2"/>
          <w:w w:val="105"/>
        </w:rPr>
        <w:t>Solución</w:t>
      </w:r>
    </w:p>
    <w:p>
      <w:pPr>
        <w:pStyle w:val="BodyText"/>
        <w:spacing w:before="90" w:line="264" w:lineRule="auto"/>
        <w:ind w:left="170" w:right="120"/>
        <w:jc w:val="both"/>
      </w:pPr>
      <w:r>
        <w:rPr>
          <w:b/>
          <w:bCs/>
          <w:i w:val="0"/>
          <w:iCs w:val="0"/>
          <w:sz w:val="20"/>
          <w:szCs w:val="20"/>
        </w:rPr>
        <w:t xml:space="preserve">Qué hace.</w:t>
      </w:r>
      <w:r>
        <w:rPr>
          <w:i w:val="0"/>
          <w:iCs w:val="0"/>
          <w:sz w:val="20"/>
          <w:szCs w:val="20"/>
        </w:rPr>
        <w:t xml:space="preserve"> Cada mes, unos 6.000 a 7.000 vehículos Ranger entran en su ventana de mantenimiento en Argentina y cuatro de cada diez no vuelven a la red oficial dentro de ella. Construimos un modelo que, cuando cada vehículo entra en ventana, estima la probabilidad calibrada de que </w:t>
      </w:r>
      <w:r>
        <w:rPr>
          <w:b/>
          <w:bCs/>
          <w:i w:val="0"/>
          <w:iCs w:val="0"/>
          <w:sz w:val="20"/>
          <w:szCs w:val="20"/>
        </w:rPr>
        <w:t xml:space="preserve">no complete su mantenimiento programado en la red dentro de los 120 días siguientes</w:t>
      </w:r>
      <w:r>
        <w:rPr>
          <w:i w:val="0"/>
          <w:iCs w:val="0"/>
          <w:sz w:val="20"/>
          <w:szCs w:val="20"/>
        </w:rPr>
        <w:t xml:space="preserve">, explica por qué con sus tres drivers principales y ordena la población para que la capacidad finita de contacto de los concesionarios vaya primero a quien más lo necesita. El resultado es una bandeja priorizada por vehículo con vista consolidada por usuario, tres segmentos con acción y canal definidos, y un tablero que la red puede operar.</w:t>
      </w:r>
    </w:p>
    <w:p>
      <w:pPr>
        <w:pStyle w:val="BodyText"/>
        <w:spacing w:before="90" w:line="264" w:lineRule="auto"/>
        <w:ind w:left="170" w:right="120"/>
        <w:jc w:val="both"/>
      </w:pPr>
      <w:r>
        <w:rPr>
          <w:b/>
          <w:bCs/>
          <w:i w:val="0"/>
          <w:iCs w:val="0"/>
          <w:sz w:val="20"/>
          <w:szCs w:val="20"/>
        </w:rPr>
        <w:t xml:space="preserve">Cómo lo resuelve.</w:t>
      </w:r>
      <w:r>
        <w:rPr>
          <w:i w:val="0"/>
          <w:iCs w:val="0"/>
          <w:sz w:val="20"/>
          <w:szCs w:val="20"/>
        </w:rPr>
        <w:t xml:space="preserve"> La ventana de cada vehículo se deriva de los datos y se valida contra el plan oficial de Ford, que es por kilómetros (16.000 km en la Ranger nueva, 10.000 km en la anterior) y no anual. Las features usan sólo información anterior al scoring: detectamos y excluimos dos columnas que son fotos del presente copiadas al pasado. El modelo (LightGBM calibrado) se entrenó con ventanas hasta septiembre de 2025 y se evaluó fuera de tiempo en enero-marzo de 2026.</w:t>
      </w:r>
    </w:p>
    <w:p>
      <w:pPr>
        <w:pStyle w:val="BodyText"/>
        <w:spacing w:before="90" w:line="264" w:lineRule="auto"/>
        <w:ind w:left="170" w:right="120"/>
        <w:jc w:val="both"/>
      </w:pPr>
      <w:r>
        <w:rPr>
          <w:b/>
          <w:bCs/>
          <w:i w:val="0"/>
          <w:iCs w:val="0"/>
          <w:sz w:val="20"/>
          <w:szCs w:val="20"/>
        </w:rPr>
        <w:t xml:space="preserve">Qué logra.</w:t>
      </w:r>
      <w:r>
        <w:rPr>
          <w:i w:val="0"/>
          <w:iCs w:val="0"/>
          <w:sz w:val="20"/>
          <w:szCs w:val="20"/>
        </w:rPr>
        <w:t xml:space="preserve"> ROC-AUC 0,74 y PR-AUC 0,70 sobre una tasa base de 43 %, con error de calibración de 1 punto. Contactando al 20 % de mayor riesgo se alcanza al 36 % de los que iban a abandonar, 1,8 veces más que con la priorización uniforme actual; con 3.000 contactos por mes, al 65 %. Con supuestos conservadores, priorizar con el modelo recupera un 80 % más de services que el mismo esfuerzo repartido al azar.</w:t>
      </w:r>
    </w:p>
    <w:p>
      <w:pPr>
        <w:pStyle w:val="BodyText"/>
        <w:spacing w:before="90" w:line="264" w:lineRule="auto"/>
        <w:ind w:left="170" w:right="120"/>
        <w:jc w:val="both"/>
      </w:pPr>
      <w:r>
        <w:rPr>
          <w:b/>
          <w:bCs/>
          <w:i w:val="0"/>
          <w:iCs w:val="0"/>
          <w:sz w:val="20"/>
          <w:szCs w:val="20"/>
        </w:rPr>
        <w:t xml:space="preserve">Por qué es viable.</w:t>
      </w:r>
      <w:r>
        <w:rPr>
          <w:i w:val="0"/>
          <w:iCs w:val="0"/>
          <w:sz w:val="20"/>
          <w:szCs w:val="20"/>
        </w:rPr>
        <w:t xml:space="preserve"> Usa sólo las dos fuentes que Ford ya tiene en BigQuery, corre en minutos con software abierto, se integra a Service Leads y Service Reminder con el output mínimo de la ficha, y su impacto se mide con un piloto aleatorizado antes de escalar. Es reproducible con un comando y fue verificado por análisis independientes.</w:t>
      </w:r>
    </w:p>
    <w:p w14:paraId="6FAF7019" w14:textId="77777777" w:rsidR="00905D92" w:rsidRDefault="003534B0">
      <w:pPr>
        <w:pStyle w:val="Heading2"/>
        <w:numPr>
          <w:ilvl w:val="1"/>
          <w:numId w:val="2"/>
        </w:numPr>
        <w:tabs>
          <w:tab w:val="left" w:pos="615"/>
        </w:tabs>
        <w:ind w:left="615" w:hanging="445"/>
      </w:pPr>
      <w:bookmarkStart w:id="8" w:name="Especificaciones_Técnicas"/>
      <w:bookmarkStart w:id="9" w:name="_bookmark4"/>
      <w:bookmarkEnd w:id="8"/>
      <w:bookmarkEnd w:id="9"/>
      <w:r>
        <w:rPr>
          <w:w w:val="105"/>
        </w:rPr>
        <w:t>Especificaciones</w:t>
      </w:r>
      <w:r>
        <w:rPr>
          <w:spacing w:val="9"/>
          <w:w w:val="105"/>
        </w:rPr>
        <w:t xml:space="preserve"> </w:t>
      </w:r>
      <w:r>
        <w:rPr>
          <w:spacing w:val="-2"/>
          <w:w w:val="105"/>
        </w:rPr>
        <w:t>Técnicas</w:t>
      </w:r>
    </w:p>
    <w:p>
      <w:pPr>
        <w:pStyle w:val="Heading3"/>
        <w:numPr>
          <w:ilvl w:val="2"/>
          <w:numId w:val="2"/>
        </w:numPr>
        <w:tabs>
          <w:tab w:val="left" w:pos="840"/>
        </w:tabs>
        <w:spacing w:before="240"/>
        <w:ind w:left="840" w:hanging="670"/>
      </w:pPr>
      <w:r>
        <w:t xml:space="preserve">Datos y hallazgos que cambian el problema</w:t>
      </w:r>
    </w:p>
    <w:p>
      <w:pPr>
        <w:pStyle w:val="BodyText"/>
        <w:spacing w:before="90" w:line="264" w:lineRule="auto"/>
        <w:ind w:left="170" w:right="120"/>
        <w:jc w:val="both"/>
      </w:pPr>
      <w:r>
        <w:rPr>
          <w:i w:val="0"/>
          <w:iCs w:val="0"/>
          <w:sz w:val="20"/>
          <w:szCs w:val="20"/>
        </w:rPr>
        <w:t xml:space="preserve">Agenda Ford tiene una fila por ítem de servicio dentro de un turno; consolidada a nivel turno: 342.691 concluidos, 101.222 cancelados (en su mayoría reprogramaciones), 27.237 no-shows. </w:t>
      </w:r>
      <w:r>
        <w:rPr>
          <w:b/>
          <w:bCs/>
          <w:i w:val="0"/>
          <w:iCs w:val="0"/>
          <w:sz w:val="20"/>
          <w:szCs w:val="20"/>
        </w:rPr>
        <w:t xml:space="preserve">222.889 turnos son mantenimientos programados completados</w:t>
      </w:r>
      <w:r>
        <w:rPr>
          <w:i w:val="0"/>
          <w:iCs w:val="0"/>
          <w:sz w:val="20"/>
          <w:szCs w:val="20"/>
        </w:rPr>
        <w:t xml:space="preserve">, el evento que define el retorno. El análisis exploratorio se hizo en seis temas, cada uno con un script reproducible y una verificación adversarial independiente que recalculó las cifras; sus hallazgos principales:</w:t>
      </w:r>
    </w:p>
    <w:p>
      <w:pPr>
        <w:pStyle w:val="ListParagraph"/>
        <w:numPr>
          <w:ilvl w:val="0"/>
          <w:numId w:val="4"/>
        </w:numPr>
        <w:spacing w:before="50" w:line="259" w:lineRule="auto"/>
        <w:ind w:left="560" w:right="120" w:hanging="220"/>
        <w:jc w:val="both"/>
      </w:pPr>
      <w:r>
        <w:rPr>
          <w:b/>
          <w:bCs/>
          <w:i w:val="0"/>
          <w:iCs w:val="0"/>
          <w:sz w:val="20"/>
          <w:szCs w:val="20"/>
        </w:rPr>
        <w:t xml:space="preserve">El plan es por kilómetros y difiere por generación.</w:t>
      </w:r>
      <w:r>
        <w:rPr>
          <w:i w:val="0"/>
          <w:iCs w:val="0"/>
          <w:sz w:val="20"/>
          <w:szCs w:val="20"/>
        </w:rPr>
        <w:t xml:space="preserve"> El kilometraje al n-ésimo service converge a 16.000 × n en la Ranger P703 y a 10.000 × n en la P375 (Figura 1), en línea con el plan oficial publicado por Ford Argentina (16.000 km ó 12 meses; 10.000 km ó 1 año). La mediana entre mantenimientos consecutivos es de 165 a 200 días; alrededor del 10 % de los retornos tarda más de un año. Una regla de "un año" abre la ventana cuando el 86 % de los clientes ya vino.</w:t>
      </w:r>
    </w:p>
    <w:p>
      <w:pPr>
        <w:pStyle w:val="ListParagraph"/>
        <w:numPr>
          <w:ilvl w:val="0"/>
          <w:numId w:val="4"/>
        </w:numPr>
        <w:spacing w:before="50" w:line="259" w:lineRule="auto"/>
        <w:ind w:left="560" w:right="120" w:hanging="220"/>
        <w:jc w:val="both"/>
      </w:pPr>
      <w:r>
        <w:rPr>
          <w:b/>
          <w:bCs/>
          <w:i w:val="0"/>
          <w:iCs w:val="0"/>
          <w:sz w:val="20"/>
          <w:szCs w:val="20"/>
        </w:rPr>
        <w:t xml:space="preserve">El primer service concentra el riesgo.</w:t>
      </w:r>
      <w:r>
        <w:rPr>
          <w:i w:val="0"/>
          <w:iCs w:val="0"/>
          <w:sz w:val="20"/>
          <w:szCs w:val="20"/>
        </w:rPr>
        <w:t xml:space="preserve"> De los compradores de 2024, el 64,5 % hizo el primer mantenimiento en la red dentro de 12 meses y el 80,9 % dentro de 18; el 19 % no volvió. A 12 meses, el churn del primer service (36 %) supera al del segundo (25 %). A igual edad del vehículo, el número de services acumulados separa retornos del 40 % y del 80 %.</w:t>
      </w:r>
    </w:p>
    <w:p>
      <w:pPr>
        <w:pStyle w:val="ListParagraph"/>
        <w:numPr>
          <w:ilvl w:val="0"/>
          <w:numId w:val="4"/>
        </w:numPr>
        <w:spacing w:before="50" w:line="259" w:lineRule="auto"/>
        <w:ind w:left="560" w:right="120" w:hanging="220"/>
        <w:jc w:val="both"/>
      </w:pPr>
      <w:r>
        <w:rPr>
          <w:b/>
          <w:bCs/>
          <w:i w:val="0"/>
          <w:iCs w:val="0"/>
          <w:sz w:val="20"/>
          <w:szCs w:val="20"/>
        </w:rPr>
        <w:t xml:space="preserve">La retención cae con la edad de forma sostenida</w:t>
      </w:r>
      <w:r>
        <w:rPr>
          <w:i w:val="0"/>
          <w:iCs w:val="0"/>
          <w:sz w:val="20"/>
          <w:szCs w:val="20"/>
        </w:rPr>
        <w:t xml:space="preserve"> (Figura 2): 66 % en el tercer año, 53 % en el quinto, 38 % en el sexto, cuando la mediana del parque supera los 100.000 km. "Cae al tercer año" es cierto a medias: la caída es gradual y el escalón mayor está entre el 5° y el 6° año.</w:t>
      </w:r>
    </w:p>
    <w:p>
      <w:pPr>
        <w:pStyle w:val="ListParagraph"/>
        <w:numPr>
          <w:ilvl w:val="0"/>
          <w:numId w:val="4"/>
        </w:numPr>
        <w:spacing w:before="50" w:line="259" w:lineRule="auto"/>
        <w:ind w:left="560" w:right="120" w:hanging="220"/>
        <w:jc w:val="both"/>
      </w:pPr>
      <w:r>
        <w:rPr>
          <w:b/>
          <w:bCs/>
          <w:i w:val="0"/>
          <w:iCs w:val="0"/>
          <w:sz w:val="20"/>
          <w:szCs w:val="20"/>
        </w:rPr>
        <w:t xml:space="preserve">Dos columnas son fotos, no historia.</w:t>
      </w:r>
      <w:r>
        <w:rPr>
          <w:i w:val="0"/>
          <w:iCs w:val="0"/>
          <w:sz w:val="20"/>
          <w:szCs w:val="20"/>
        </w:rPr>
        <w:t xml:space="preserve"> KM es idéntico en todos los turnos de un vehículo (99,99 %) e igual al último odómetro cargado; ConnectedStatusARG tampoco varía y "Sin información de conectividad" marca vehículos que ya salieron del sistema. Usarlas infla el rendimiento con información que no existe al momento de decidir (sección 2.2.4). El km real de cada visita es VehicleCurrentKM.</w:t>
      </w:r>
    </w:p>
    <w:p>
      <w:pPr>
        <w:pStyle w:val="ListParagraph"/>
        <w:numPr>
          <w:ilvl w:val="0"/>
          <w:numId w:val="4"/>
        </w:numPr>
        <w:spacing w:before="50" w:line="259" w:lineRule="auto"/>
        <w:ind w:left="560" w:right="120" w:hanging="220"/>
        <w:jc w:val="both"/>
      </w:pPr>
      <w:r>
        <w:rPr>
          <w:b/>
          <w:bCs/>
          <w:i w:val="0"/>
          <w:iCs w:val="0"/>
          <w:sz w:val="20"/>
          <w:szCs w:val="20"/>
        </w:rPr>
        <w:t xml:space="preserve">Lo que engaña en crudo.</w:t>
      </w:r>
      <w:r>
        <w:rPr>
          <w:i w:val="0"/>
          <w:iCs w:val="0"/>
          <w:sz w:val="20"/>
          <w:szCs w:val="20"/>
        </w:rPr>
        <w:t xml:space="preserve"> Los no-shows previos parecen no separar nada (78 % de retorno con 0, 1 o 2 o más), pero es una paradoja de Simpson: quien tuvo un no-show tuvo turnos, y tener turnos es el predictor más fuerte. A igual cantidad de turnos, un no-show baja el retorno (67 % vs 73 %). La encuesta de estrellas es previa al turno y no aporta. Sí separan: la recencia (turno previo hace más de un año: 51 % de retorno; hace 1 a 3 meses: 86 %), FordPass (+3 a +5 puntos dentro de cada generación) y el concesionario (estable entre años; 73 % vs 84 % de retorno entre el peor y el mejor quintil).</w:t>
      </w:r>
    </w:p>
    <w:p>
      <w:pPr>
        <w:pStyle w:val="ListParagraph"/>
        <w:numPr>
          <w:ilvl w:val="0"/>
          <w:numId w:val="4"/>
        </w:numPr>
        <w:spacing w:before="50" w:line="259" w:lineRule="auto"/>
        <w:ind w:left="560" w:right="120" w:hanging="220"/>
        <w:jc w:val="both"/>
      </w:pPr>
      <w:r>
        <w:rPr>
          <w:b/>
          <w:bCs/>
          <w:i w:val="0"/>
          <w:iCs w:val="0"/>
          <w:sz w:val="20"/>
          <w:szCs w:val="20"/>
        </w:rPr>
        <w:t xml:space="preserve">La identidad del cliente es imperfecta.</w:t>
      </w:r>
      <w:r>
        <w:rPr>
          <w:i w:val="0"/>
          <w:iCs w:val="0"/>
          <w:sz w:val="20"/>
          <w:szCs w:val="20"/>
        </w:rPr>
        <w:t xml:space="preserve"> El 21 % de los vehículos tiene más de un customer_id y la mitad de esos cambios coincide con un cambio de canal de reserva. Las flotas entran menos a la red (62 % vs 80 % hacen el primer service en 15 meses) pero, una vez adentro, vuelven igual.</w:t>
      </w:r>
    </w:p>
    <w:p>
      <w:pPr>
        <w:keepNext/>
        <w:spacing w:before="120"/>
        <w:ind w:left="170"/>
        <w:jc w:val="center"/>
      </w:pPr>
      <w:r>
        <w:rPr>
          <w:noProof/>
        </w:rPr>
        <w:drawing>
          <wp:inline distT="0" distB="0" distL="0" distR="0">
            <wp:extent cx="5207000" cy="1735666"/>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pic:cNvPicPr/>
                  </pic:nvPicPr>
                  <pic:blipFill>
                    <a:blip r:embed="rIdFig1"/>
                    <a:stretch>
                      <a:fillRect/>
                    </a:stretch>
                  </pic:blipFill>
                  <pic:spPr>
                    <a:xfrm>
                      <a:off x="0" y="0"/>
                      <a:ext cx="5207000" cy="1735666"/>
                    </a:xfrm>
                    <a:prstGeom prst="rect">
                      <a:avLst/>
                    </a:prstGeom>
                  </pic:spPr>
                </pic:pic>
              </a:graphicData>
            </a:graphic>
          </wp:inline>
        </w:drawing>
      </w:r>
    </w:p>
    <w:p>
      <w:pPr>
        <w:pStyle w:val="Caption"/>
        <w:spacing w:before="40" w:after="160"/>
        <w:ind w:left="170" w:right="120"/>
        <w:jc w:val="center"/>
      </w:pPr>
      <w:r>
        <w:rPr>
          <w:sz w:val="16"/>
          <w:szCs w:val="16"/>
        </w:rPr>
        <w:t xml:space="preserve">Figura 1. Km al n-ésimo service por generación: el plan es 16.000 × n (P703) y 10.000 × n (P375).</w:t>
      </w:r>
    </w:p>
    <w:p>
      <w:pPr>
        <w:keepNext/>
        <w:spacing w:before="120"/>
        <w:ind w:left="170"/>
        <w:jc w:val="center"/>
      </w:pPr>
      <w:r>
        <w:rPr>
          <w:noProof/>
        </w:rPr>
        <w:drawing>
          <wp:inline distT="0" distB="0" distL="0" distR="0">
            <wp:extent cx="5207000" cy="2002692"/>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pic:cNvPicPr/>
                  </pic:nvPicPr>
                  <pic:blipFill>
                    <a:blip r:embed="rIdFig2"/>
                    <a:stretch>
                      <a:fillRect/>
                    </a:stretch>
                  </pic:blipFill>
                  <pic:spPr>
                    <a:xfrm>
                      <a:off x="0" y="0"/>
                      <a:ext cx="5207000" cy="2002692"/>
                    </a:xfrm>
                    <a:prstGeom prst="rect">
                      <a:avLst/>
                    </a:prstGeom>
                  </pic:spPr>
                </pic:pic>
              </a:graphicData>
            </a:graphic>
          </wp:inline>
        </w:drawing>
      </w:r>
    </w:p>
    <w:p>
      <w:pPr>
        <w:pStyle w:val="Caption"/>
        <w:spacing w:before="40" w:after="160"/>
        <w:ind w:left="170" w:right="120"/>
        <w:jc w:val="center"/>
      </w:pPr>
      <w:r>
        <w:rPr>
          <w:sz w:val="16"/>
          <w:szCs w:val="16"/>
        </w:rPr>
        <w:t xml:space="preserve">Figura 2. Proporción de vehículos con al menos un mantenimiento en la red en cada año de vida.</w:t>
      </w:r>
    </w:p>
    <w:p>
      <w:pPr>
        <w:pStyle w:val="Heading3"/>
        <w:numPr>
          <w:ilvl w:val="2"/>
          <w:numId w:val="2"/>
        </w:numPr>
        <w:tabs>
          <w:tab w:val="left" w:pos="840"/>
        </w:tabs>
        <w:spacing w:before="240"/>
        <w:ind w:left="840" w:hanging="670"/>
      </w:pPr>
      <w:r>
        <w:t xml:space="preserve">Población, ventana y target</w:t>
      </w:r>
    </w:p>
    <w:p>
      <w:pPr>
        <w:pStyle w:val="BodyText"/>
        <w:spacing w:before="90" w:line="264" w:lineRule="auto"/>
        <w:ind w:left="170" w:right="120"/>
        <w:jc w:val="both"/>
      </w:pPr>
      <w:r>
        <w:rPr>
          <w:i w:val="0"/>
          <w:iCs w:val="0"/>
          <w:sz w:val="20"/>
          <w:szCs w:val="20"/>
        </w:rPr>
        <w:t xml:space="preserve">La ficha deja las reglas exactas de ventana y horizonte "a validar por modelo/año". Las definimos empíricamente y las dejamos parametrizadas (config/params.json).</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1500"/>
        <w:gridCol w:w="3700"/>
        <w:gridCol w:w="3400"/>
      </w:tblGrid>
      <w:tr>
        <w:trPr>
          <w:cantSplit/>
          <w:tblHeader/>
        </w:trPr>
        <w:tc>
          <w:tcPr>
            <w:tcW w:w="1500" w:type="dxa"/>
            <w:shd w:val="clear" w:color="auto" w:fill="EDEDED"/>
          </w:tcPr>
          <w:p>
            <w:pPr>
              <w:pStyle w:val="TableParagraph"/>
              <w:spacing w:before="20" w:after="20" w:line="220" w:lineRule="auto"/>
              <w:ind w:left="40"/>
              <w:jc w:val="left"/>
            </w:pPr>
            <w:r>
              <w:rPr>
                <w:b/>
                <w:bCs/>
                <w:i w:val="0"/>
                <w:iCs w:val="0"/>
                <w:sz w:val="17"/>
                <w:szCs w:val="17"/>
              </w:rPr>
              <w:t xml:space="preserve">Elemento</w:t>
            </w:r>
          </w:p>
        </w:tc>
        <w:tc>
          <w:tcPr>
            <w:tcW w:w="3700" w:type="dxa"/>
            <w:shd w:val="clear" w:color="auto" w:fill="EDEDED"/>
          </w:tcPr>
          <w:p>
            <w:pPr>
              <w:pStyle w:val="TableParagraph"/>
              <w:spacing w:before="20" w:after="20" w:line="220" w:lineRule="auto"/>
              <w:ind w:left="40"/>
              <w:jc w:val="left"/>
            </w:pPr>
            <w:r>
              <w:rPr>
                <w:b/>
                <w:bCs/>
                <w:i w:val="0"/>
                <w:iCs w:val="0"/>
                <w:sz w:val="17"/>
                <w:szCs w:val="17"/>
              </w:rPr>
              <w:t xml:space="preserve">Definición</w:t>
            </w:r>
          </w:p>
        </w:tc>
        <w:tc>
          <w:tcPr>
            <w:tcW w:w="3400" w:type="dxa"/>
            <w:shd w:val="clear" w:color="auto" w:fill="EDEDED"/>
          </w:tcPr>
          <w:p>
            <w:pPr>
              <w:pStyle w:val="TableParagraph"/>
              <w:spacing w:before="20" w:after="20" w:line="220" w:lineRule="auto"/>
              <w:ind w:left="40"/>
              <w:jc w:val="left"/>
            </w:pPr>
            <w:r>
              <w:rPr>
                <w:b/>
                <w:bCs/>
                <w:i w:val="0"/>
                <w:iCs w:val="0"/>
                <w:sz w:val="17"/>
                <w:szCs w:val="17"/>
              </w:rPr>
              <w:t xml:space="preserve">Justificación</w:t>
            </w:r>
          </w:p>
        </w:tc>
      </w:tr>
      <w:tr>
        <w:trPr>
          <w:cantSplit/>
        </w:trPr>
        <w:tc>
          <w:tcPr>
            <w:tcW w:w="1500" w:type="dxa"/>
          </w:tcPr>
          <w:p>
            <w:pPr>
              <w:pStyle w:val="TableParagraph"/>
              <w:spacing w:before="20" w:after="20" w:line="220" w:lineRule="auto"/>
              <w:ind w:left="40"/>
              <w:jc w:val="left"/>
            </w:pPr>
            <w:r>
              <w:rPr>
                <w:i w:val="0"/>
                <w:iCs w:val="0"/>
                <w:sz w:val="17"/>
                <w:szCs w:val="17"/>
              </w:rPr>
              <w:t xml:space="preserve">Unidad</w:t>
            </w:r>
          </w:p>
        </w:tc>
        <w:tc>
          <w:tcPr>
            <w:tcW w:w="3700" w:type="dxa"/>
          </w:tcPr>
          <w:p>
            <w:pPr>
              <w:pStyle w:val="TableParagraph"/>
              <w:spacing w:before="20" w:after="20" w:line="220" w:lineRule="auto"/>
              <w:ind w:left="40"/>
              <w:jc w:val="left"/>
            </w:pPr>
            <w:r>
              <w:rPr>
                <w:i w:val="0"/>
                <w:iCs w:val="0"/>
                <w:sz w:val="17"/>
                <w:szCs w:val="17"/>
              </w:rPr>
              <w:t xml:space="preserve">usuario – vehículo – ventana</w:t>
            </w:r>
          </w:p>
        </w:tc>
        <w:tc>
          <w:tcPr>
            <w:tcW w:w="3400" w:type="dxa"/>
          </w:tcPr>
          <w:p>
            <w:pPr>
              <w:pStyle w:val="TableParagraph"/>
              <w:spacing w:before="20" w:after="20" w:line="220" w:lineRule="auto"/>
              <w:ind w:left="40"/>
              <w:jc w:val="left"/>
            </w:pPr>
            <w:r>
              <w:rPr>
                <w:i w:val="0"/>
                <w:iCs w:val="0"/>
                <w:sz w:val="17"/>
                <w:szCs w:val="17"/>
              </w:rPr>
              <w:t xml:space="preserve">Lo pide la ficha; el riesgo es del vehículo, la acción es sobre el usuario</w:t>
            </w:r>
          </w:p>
        </w:tc>
      </w:tr>
      <w:tr>
        <w:trPr>
          <w:cantSplit/>
        </w:trPr>
        <w:tc>
          <w:tcPr>
            <w:tcW w:w="1500" w:type="dxa"/>
          </w:tcPr>
          <w:p>
            <w:pPr>
              <w:pStyle w:val="TableParagraph"/>
              <w:spacing w:before="20" w:after="20" w:line="220" w:lineRule="auto"/>
              <w:ind w:left="40"/>
              <w:jc w:val="left"/>
            </w:pPr>
            <w:r>
              <w:rPr>
                <w:i w:val="0"/>
                <w:iCs w:val="0"/>
                <w:sz w:val="17"/>
                <w:szCs w:val="17"/>
              </w:rPr>
              <w:t xml:space="preserve">Ancla</w:t>
            </w:r>
          </w:p>
        </w:tc>
        <w:tc>
          <w:tcPr>
            <w:tcW w:w="3700" w:type="dxa"/>
          </w:tcPr>
          <w:p>
            <w:pPr>
              <w:pStyle w:val="TableParagraph"/>
              <w:spacing w:before="20" w:after="20" w:line="220" w:lineRule="auto"/>
              <w:ind w:left="40"/>
              <w:jc w:val="left"/>
            </w:pPr>
            <w:r>
              <w:rPr>
                <w:i w:val="0"/>
                <w:iCs w:val="0"/>
                <w:sz w:val="17"/>
                <w:szCs w:val="17"/>
              </w:rPr>
              <w:t xml:space="preserve">último mantenimiento programado completado en la red; inicio de garantía para el primer service</w:t>
            </w:r>
          </w:p>
        </w:tc>
        <w:tc>
          <w:tcPr>
            <w:tcW w:w="3400" w:type="dxa"/>
          </w:tcPr>
          <w:p>
            <w:pPr>
              <w:pStyle w:val="TableParagraph"/>
              <w:spacing w:before="20" w:after="20" w:line="220" w:lineRule="auto"/>
              <w:ind w:left="40"/>
              <w:jc w:val="left"/>
            </w:pPr>
            <w:r>
              <w:rPr>
                <w:i w:val="0"/>
                <w:iCs w:val="0"/>
                <w:sz w:val="17"/>
                <w:szCs w:val="17"/>
              </w:rPr>
              <w:t xml:space="preserve">Reproduce cómo "le toca" a cada vehículo</w:t>
            </w:r>
          </w:p>
        </w:tc>
      </w:tr>
      <w:tr>
        <w:trPr>
          <w:cantSplit/>
        </w:trPr>
        <w:tc>
          <w:tcPr>
            <w:tcW w:w="1500" w:type="dxa"/>
          </w:tcPr>
          <w:p>
            <w:pPr>
              <w:pStyle w:val="TableParagraph"/>
              <w:spacing w:before="20" w:after="20" w:line="220" w:lineRule="auto"/>
              <w:ind w:left="40"/>
              <w:jc w:val="left"/>
            </w:pPr>
            <w:r>
              <w:rPr>
                <w:i w:val="0"/>
                <w:iCs w:val="0"/>
                <w:sz w:val="17"/>
                <w:szCs w:val="17"/>
              </w:rPr>
              <w:t xml:space="preserve">Tasa de uso</w:t>
            </w:r>
          </w:p>
        </w:tc>
        <w:tc>
          <w:tcPr>
            <w:tcW w:w="3700" w:type="dxa"/>
          </w:tcPr>
          <w:p>
            <w:pPr>
              <w:pStyle w:val="TableParagraph"/>
              <w:spacing w:before="20" w:after="20" w:line="220" w:lineRule="auto"/>
              <w:ind w:left="40"/>
              <w:jc w:val="left"/>
            </w:pPr>
            <w:r>
              <w:rPr>
                <w:i w:val="0"/>
                <w:iCs w:val="0"/>
                <w:sz w:val="17"/>
                <w:szCs w:val="17"/>
              </w:rPr>
              <w:t xml:space="preserve">km al ancla / edad del vehículo al ancla (mediana de la generación si no hay km)</w:t>
            </w:r>
          </w:p>
        </w:tc>
        <w:tc>
          <w:tcPr>
            <w:tcW w:w="3400" w:type="dxa"/>
          </w:tcPr>
          <w:p>
            <w:pPr>
              <w:pStyle w:val="TableParagraph"/>
              <w:spacing w:before="20" w:after="20" w:line="220" w:lineRule="auto"/>
              <w:ind w:left="40"/>
              <w:jc w:val="left"/>
            </w:pPr>
            <w:r>
              <w:rPr>
                <w:i w:val="0"/>
                <w:iCs w:val="0"/>
                <w:sz w:val="17"/>
                <w:szCs w:val="17"/>
              </w:rPr>
              <w:t xml:space="preserve">Disponible en el 96 % de las anclas; concuerda con la pendiente entre visitas (Spearman 0,90)</w:t>
            </w:r>
          </w:p>
        </w:tc>
      </w:tr>
      <w:tr>
        <w:trPr>
          <w:cantSplit/>
        </w:trPr>
        <w:tc>
          <w:tcPr>
            <w:tcW w:w="1500" w:type="dxa"/>
          </w:tcPr>
          <w:p>
            <w:pPr>
              <w:pStyle w:val="TableParagraph"/>
              <w:spacing w:before="20" w:after="20" w:line="220" w:lineRule="auto"/>
              <w:ind w:left="40"/>
              <w:jc w:val="left"/>
            </w:pPr>
            <w:r>
              <w:rPr>
                <w:i w:val="0"/>
                <w:iCs w:val="0"/>
                <w:sz w:val="17"/>
                <w:szCs w:val="17"/>
              </w:rPr>
              <w:t xml:space="preserve">Vencimiento</w:t>
            </w:r>
          </w:p>
        </w:tc>
        <w:tc>
          <w:tcPr>
            <w:tcW w:w="3700" w:type="dxa"/>
          </w:tcPr>
          <w:p>
            <w:pPr>
              <w:pStyle w:val="TableParagraph"/>
              <w:spacing w:before="20" w:after="20" w:line="220" w:lineRule="auto"/>
              <w:ind w:left="40"/>
              <w:jc w:val="left"/>
            </w:pPr>
            <w:r>
              <w:rPr>
                <w:i w:val="0"/>
                <w:iCs w:val="0"/>
                <w:sz w:val="17"/>
                <w:szCs w:val="17"/>
              </w:rPr>
              <w:t xml:space="preserve">ancla + min(365 días, K / tasa de uso), K = 16.000 km (P703) / 10.000 km (P375); primer service: garantía + 300 días</w:t>
            </w:r>
          </w:p>
        </w:tc>
        <w:tc>
          <w:tcPr>
            <w:tcW w:w="3400" w:type="dxa"/>
          </w:tcPr>
          <w:p>
            <w:pPr>
              <w:pStyle w:val="TableParagraph"/>
              <w:spacing w:before="20" w:after="20" w:line="220" w:lineRule="auto"/>
              <w:ind w:left="40"/>
              <w:jc w:val="left"/>
            </w:pPr>
            <w:r>
              <w:rPr>
                <w:i w:val="0"/>
                <w:iCs w:val="0"/>
                <w:sz w:val="17"/>
                <w:szCs w:val="17"/>
              </w:rPr>
              <w:t xml:space="preserve">Centra el retraso real del retorno cerca del vencimiento</w:t>
            </w:r>
          </w:p>
        </w:tc>
      </w:tr>
      <w:tr>
        <w:trPr>
          <w:cantSplit/>
        </w:trPr>
        <w:tc>
          <w:tcPr>
            <w:tcW w:w="1500" w:type="dxa"/>
          </w:tcPr>
          <w:p>
            <w:pPr>
              <w:pStyle w:val="TableParagraph"/>
              <w:spacing w:before="20" w:after="20" w:line="220" w:lineRule="auto"/>
              <w:ind w:left="40"/>
              <w:jc w:val="left"/>
            </w:pPr>
            <w:r>
              <w:rPr>
                <w:i w:val="0"/>
                <w:iCs w:val="0"/>
                <w:sz w:val="17"/>
                <w:szCs w:val="17"/>
              </w:rPr>
              <w:t xml:space="preserve">Apertura y scoring</w:t>
            </w:r>
          </w:p>
        </w:tc>
        <w:tc>
          <w:tcPr>
            <w:tcW w:w="3700" w:type="dxa"/>
          </w:tcPr>
          <w:p>
            <w:pPr>
              <w:pStyle w:val="TableParagraph"/>
              <w:spacing w:before="20" w:after="20" w:line="220" w:lineRule="auto"/>
              <w:ind w:left="40"/>
              <w:jc w:val="left"/>
            </w:pPr>
            <w:r>
              <w:rPr>
                <w:i w:val="0"/>
                <w:iCs w:val="0"/>
                <w:sz w:val="17"/>
                <w:szCs w:val="17"/>
              </w:rPr>
              <w:t xml:space="preserve">vencimiento − 30 días</w:t>
            </w:r>
          </w:p>
        </w:tc>
        <w:tc>
          <w:tcPr>
            <w:tcW w:w="3400" w:type="dxa"/>
          </w:tcPr>
          <w:p>
            <w:pPr>
              <w:pStyle w:val="TableParagraph"/>
              <w:spacing w:before="20" w:after="20" w:line="220" w:lineRule="auto"/>
              <w:ind w:left="40"/>
              <w:jc w:val="left"/>
            </w:pPr>
            <w:r>
              <w:rPr>
                <w:i w:val="0"/>
                <w:iCs w:val="0"/>
                <w:sz w:val="17"/>
                <w:szCs w:val="17"/>
              </w:rPr>
              <w:t xml:space="preserve">80 % de las ventanas abiertas; horizonte corto</w:t>
            </w:r>
          </w:p>
        </w:tc>
      </w:tr>
      <w:tr>
        <w:trPr>
          <w:cantSplit/>
        </w:trPr>
        <w:tc>
          <w:tcPr>
            <w:tcW w:w="1500" w:type="dxa"/>
          </w:tcPr>
          <w:p>
            <w:pPr>
              <w:pStyle w:val="TableParagraph"/>
              <w:spacing w:before="20" w:after="20" w:line="220" w:lineRule="auto"/>
              <w:ind w:left="40"/>
              <w:jc w:val="left"/>
            </w:pPr>
            <w:r>
              <w:rPr>
                <w:i w:val="0"/>
                <w:iCs w:val="0"/>
                <w:sz w:val="17"/>
                <w:szCs w:val="17"/>
              </w:rPr>
              <w:t xml:space="preserve">Horizonte</w:t>
            </w:r>
          </w:p>
        </w:tc>
        <w:tc>
          <w:tcPr>
            <w:tcW w:w="3700" w:type="dxa"/>
          </w:tcPr>
          <w:p>
            <w:pPr>
              <w:pStyle w:val="TableParagraph"/>
              <w:spacing w:before="20" w:after="20" w:line="220" w:lineRule="auto"/>
              <w:ind w:left="40"/>
              <w:jc w:val="left"/>
            </w:pPr>
            <w:r>
              <w:rPr>
                <w:i w:val="0"/>
                <w:iCs w:val="0"/>
                <w:sz w:val="17"/>
                <w:szCs w:val="17"/>
              </w:rPr>
              <w:t xml:space="preserve">vencimiento + 90 días</w:t>
            </w:r>
          </w:p>
        </w:tc>
        <w:tc>
          <w:tcPr>
            <w:tcW w:w="3400" w:type="dxa"/>
          </w:tcPr>
          <w:p>
            <w:pPr>
              <w:pStyle w:val="TableParagraph"/>
              <w:spacing w:before="20" w:after="20" w:line="220" w:lineRule="auto"/>
              <w:ind w:left="40"/>
              <w:jc w:val="left"/>
            </w:pPr>
            <w:r>
              <w:rPr>
                <w:i w:val="0"/>
                <w:iCs w:val="0"/>
                <w:sz w:val="17"/>
                <w:szCs w:val="17"/>
              </w:rPr>
              <w:t xml:space="preserve">Captura el 84 % de los retornos de quienes vuelven en 18 meses</w:t>
            </w:r>
          </w:p>
        </w:tc>
      </w:tr>
      <w:tr>
        <w:trPr>
          <w:cantSplit/>
        </w:trPr>
        <w:tc>
          <w:tcPr>
            <w:tcW w:w="1500" w:type="dxa"/>
          </w:tcPr>
          <w:p>
            <w:pPr>
              <w:pStyle w:val="TableParagraph"/>
              <w:spacing w:before="20" w:after="20" w:line="220" w:lineRule="auto"/>
              <w:ind w:left="40"/>
              <w:jc w:val="left"/>
            </w:pPr>
            <w:r>
              <w:rPr>
                <w:i w:val="0"/>
                <w:iCs w:val="0"/>
                <w:sz w:val="17"/>
                <w:szCs w:val="17"/>
              </w:rPr>
              <w:t xml:space="preserve">Target</w:t>
            </w:r>
          </w:p>
        </w:tc>
        <w:tc>
          <w:tcPr>
            <w:tcW w:w="3700" w:type="dxa"/>
          </w:tcPr>
          <w:p>
            <w:pPr>
              <w:pStyle w:val="TableParagraph"/>
              <w:spacing w:before="20" w:after="20" w:line="220" w:lineRule="auto"/>
              <w:ind w:left="40"/>
              <w:jc w:val="left"/>
            </w:pPr>
            <w:r>
              <w:rPr>
                <w:i w:val="0"/>
                <w:iCs w:val="0"/>
                <w:sz w:val="17"/>
                <w:szCs w:val="17"/>
              </w:rPr>
              <w:t xml:space="preserve">churn = 1 si no hay mantenimiento completado entre la apertura y el cierre del horizonte</w:t>
            </w:r>
          </w:p>
        </w:tc>
        <w:tc>
          <w:tcPr>
            <w:tcW w:w="3400" w:type="dxa"/>
          </w:tcPr>
          <w:p>
            <w:pPr>
              <w:pStyle w:val="TableParagraph"/>
              <w:spacing w:before="20" w:after="20" w:line="220" w:lineRule="auto"/>
              <w:ind w:left="40"/>
              <w:jc w:val="left"/>
            </w:pPr>
            <w:r>
              <w:rPr>
                <w:i w:val="0"/>
                <w:iCs w:val="0"/>
                <w:sz w:val="17"/>
                <w:szCs w:val="17"/>
              </w:rPr>
              <w:t xml:space="preserve">Definición de la ficha</w:t>
            </w:r>
          </w:p>
        </w:tc>
      </w:tr>
      <w:tr>
        <w:trPr>
          <w:cantSplit/>
        </w:trPr>
        <w:tc>
          <w:tcPr>
            <w:tcW w:w="1500" w:type="dxa"/>
          </w:tcPr>
          <w:p>
            <w:pPr>
              <w:pStyle w:val="TableParagraph"/>
              <w:spacing w:before="20" w:after="20" w:line="220" w:lineRule="auto"/>
              <w:ind w:left="40"/>
              <w:jc w:val="left"/>
            </w:pPr>
            <w:r>
              <w:rPr>
                <w:i w:val="0"/>
                <w:iCs w:val="0"/>
                <w:sz w:val="17"/>
                <w:szCs w:val="17"/>
              </w:rPr>
              <w:t xml:space="preserve">Censura</w:t>
            </w:r>
          </w:p>
        </w:tc>
        <w:tc>
          <w:tcPr>
            <w:tcW w:w="3700" w:type="dxa"/>
          </w:tcPr>
          <w:p>
            <w:pPr>
              <w:pStyle w:val="TableParagraph"/>
              <w:spacing w:before="20" w:after="20" w:line="220" w:lineRule="auto"/>
              <w:ind w:left="40"/>
              <w:jc w:val="left"/>
            </w:pPr>
            <w:r>
              <w:rPr>
                <w:i w:val="0"/>
                <w:iCs w:val="0"/>
                <w:sz w:val="17"/>
                <w:szCs w:val="17"/>
              </w:rPr>
              <w:t xml:space="preserve">ventanas cuyo horizonte no cerró 30 días antes del corte: no se etiquetan; son la población a scorear hoy</w:t>
            </w:r>
          </w:p>
        </w:tc>
        <w:tc>
          <w:tcPr>
            <w:tcW w:w="3400" w:type="dxa"/>
          </w:tcPr>
          <w:p>
            <w:pPr>
              <w:pStyle w:val="TableParagraph"/>
              <w:spacing w:before="20" w:after="20" w:line="220" w:lineRule="auto"/>
              <w:ind w:left="40"/>
              <w:jc w:val="left"/>
            </w:pPr>
            <w:r>
              <w:rPr>
                <w:i w:val="0"/>
                <w:iCs w:val="0"/>
                <w:sz w:val="17"/>
                <w:szCs w:val="17"/>
              </w:rPr>
              <w:t xml:space="preserve">Definición de la ficha</w:t>
            </w:r>
          </w:p>
        </w:tc>
      </w:tr>
      <w:tr>
        <w:trPr>
          <w:cantSplit/>
        </w:trPr>
        <w:tc>
          <w:tcPr>
            <w:tcW w:w="1500" w:type="dxa"/>
          </w:tcPr>
          <w:p>
            <w:pPr>
              <w:pStyle w:val="TableParagraph"/>
              <w:spacing w:before="20" w:after="20" w:line="220" w:lineRule="auto"/>
              <w:ind w:left="40"/>
              <w:jc w:val="left"/>
            </w:pPr>
            <w:r>
              <w:rPr>
                <w:i w:val="0"/>
                <w:iCs w:val="0"/>
                <w:sz w:val="17"/>
                <w:szCs w:val="17"/>
              </w:rPr>
              <w:t xml:space="preserve">Población resultante</w:t>
            </w:r>
          </w:p>
        </w:tc>
        <w:tc>
          <w:tcPr>
            <w:tcW w:w="3700" w:type="dxa"/>
          </w:tcPr>
          <w:p>
            <w:pPr>
              <w:pStyle w:val="TableParagraph"/>
              <w:spacing w:before="20" w:after="20" w:line="220" w:lineRule="auto"/>
              <w:ind w:left="40"/>
              <w:jc w:val="left"/>
            </w:pPr>
            <w:r>
              <w:rPr>
                <w:i w:val="0"/>
                <w:iCs w:val="0"/>
                <w:sz w:val="17"/>
                <w:szCs w:val="17"/>
              </w:rPr>
              <w:t xml:space="preserve">142.637 ventanas evaluables (2024-2026), churn 41,6 %; 35.190 ventanas abiertas al corte</w:t>
            </w:r>
          </w:p>
        </w:tc>
        <w:tc>
          <w:tcPr>
            <w:tcW w:w="3400" w:type="dxa"/>
          </w:tcPr>
          <w:p>
            <w:pPr>
              <w:pStyle w:val="TableParagraph"/>
              <w:spacing w:before="20" w:after="20" w:line="220" w:lineRule="auto"/>
              <w:ind w:left="40"/>
              <w:jc w:val="left"/>
            </w:pPr>
            <w:r>
              <w:rPr>
                <w:i w:val="0"/>
                <w:iCs w:val="0"/>
                <w:sz w:val="17"/>
                <w:szCs w:val="17"/>
              </w:rPr>
              <w:t xml:space="preserve">Quedan fuera 17.973 vehículos entregados antes de 2024 sin ningún mantenimiento en 2024-26: no tienen ancla observable</w:t>
            </w:r>
          </w:p>
        </w:tc>
      </w:tr>
    </w:tbl>
    <w:p>
      <w:pPr>
        <w:pStyle w:val="BodyText"/>
        <w:spacing w:before="20" w:line="264" w:lineRule="auto"/>
        <w:ind w:left="170" w:right="120"/>
        <w:jc w:val="both"/>
      </w:pPr>
    </w:p>
    <w:p>
      <w:pPr>
        <w:pStyle w:val="BodyText"/>
        <w:spacing w:before="90" w:line="264" w:lineRule="auto"/>
        <w:ind w:left="170" w:right="120"/>
        <w:jc w:val="both"/>
      </w:pPr>
      <w:r>
        <w:rPr>
          <w:b/>
          <w:bCs/>
          <w:i w:val="0"/>
          <w:iCs w:val="0"/>
          <w:sz w:val="20"/>
          <w:szCs w:val="20"/>
        </w:rPr>
        <w:t xml:space="preserve">Alternativas descartadas con números</w:t>
      </w:r>
      <w:r>
        <w:rPr>
          <w:i w:val="0"/>
          <w:iCs w:val="0"/>
          <w:sz w:val="20"/>
          <w:szCs w:val="20"/>
        </w:rPr>
        <w:t xml:space="preserve"> (36 combinaciones de parámetros probadas): la regla de "un año" produce 58 % de churn y sólo el 18 % de los retornos caen dentro de la ventana; los aniversarios del plan, 76 % de churn y 17 % de captura; un único K para todo el parque corre el vencimiento un mes tarde en la P375 o lo adelanta en la P703; abrir a −60 días captura más retornos a costa de una ventana de 150 días; un horizonte de +60 días etiqueta como churn a muchos que vuelven tarde (47 %), y +180 entrega el resultado siete meses después, tarde para medir (Figura 3).</w:t>
      </w:r>
    </w:p>
    <w:p>
      <w:pPr>
        <w:pStyle w:val="BodyText"/>
        <w:spacing w:before="90" w:line="264" w:lineRule="auto"/>
        <w:ind w:left="170" w:right="120"/>
        <w:jc w:val="both"/>
      </w:pPr>
      <w:r>
        <w:rPr>
          <w:b/>
          <w:bCs/>
          <w:i w:val="0"/>
          <w:iCs w:val="0"/>
          <w:sz w:val="20"/>
          <w:szCs w:val="20"/>
        </w:rPr>
        <w:t xml:space="preserve">Contraste con una solución independiente.</w:t>
      </w:r>
      <w:r>
        <w:rPr>
          <w:i w:val="0"/>
          <w:iCs w:val="0"/>
          <w:sz w:val="20"/>
          <w:szCs w:val="20"/>
        </w:rPr>
        <w:t xml:space="preserve"> Un segundo equipo de análisis resolvió el mismo desafío sin ver este trabajo y llegó a la misma población y al mismo evento, pero con un horizonte de un mes calendario, lo que da 78 % de churn. Aplicando cada etiqueta sobre las ventanas del otro se demostró que la diferencia es sólo el horizonte (79,0 % vs 44,0 %) y que entre el 40 % y el 44 % de los "churn" mensuales completa el mantenimiento antes de vencimiento + 90 días: son clientes tardíos, no perdidos. Adoptamos el horizonte de 90 días como resultado primario, la cadencia mensual de scoring como operación, y dejamos al negocio la validación final de ambos parámetros.</w:t>
      </w:r>
    </w:p>
    <w:p>
      <w:pPr>
        <w:keepNext/>
        <w:spacing w:before="120"/>
        <w:ind w:left="170"/>
        <w:jc w:val="center"/>
      </w:pPr>
      <w:r>
        <w:rPr>
          <w:noProof/>
        </w:rPr>
        <w:drawing>
          <wp:inline distT="0" distB="0" distL="0" distR="0">
            <wp:extent cx="5207000" cy="1735666"/>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3"/>
                    <pic:cNvPicPr/>
                  </pic:nvPicPr>
                  <pic:blipFill>
                    <a:blip r:embed="rIdFig3"/>
                    <a:stretch>
                      <a:fillRect/>
                    </a:stretch>
                  </pic:blipFill>
                  <pic:spPr>
                    <a:xfrm>
                      <a:off x="0" y="0"/>
                      <a:ext cx="5207000" cy="1735666"/>
                    </a:xfrm>
                    <a:prstGeom prst="rect">
                      <a:avLst/>
                    </a:prstGeom>
                  </pic:spPr>
                </pic:pic>
              </a:graphicData>
            </a:graphic>
          </wp:inline>
        </w:drawing>
      </w:r>
    </w:p>
    <w:p>
      <w:pPr>
        <w:pStyle w:val="Caption"/>
        <w:spacing w:before="40" w:after="160"/>
        <w:ind w:left="170" w:right="120"/>
        <w:jc w:val="center"/>
      </w:pPr>
      <w:r>
        <w:rPr>
          <w:sz w:val="16"/>
          <w:szCs w:val="16"/>
        </w:rPr>
        <w:t xml:space="preserve">Figura 3. Retraso del retorno real respecto del vencimiento estimado, según regla. La regla por generación centra el retorno; la regla anual queda 200 días tarde.</w:t>
      </w:r>
    </w:p>
    <w:p>
      <w:pPr>
        <w:pStyle w:val="Heading3"/>
        <w:numPr>
          <w:ilvl w:val="2"/>
          <w:numId w:val="2"/>
        </w:numPr>
        <w:tabs>
          <w:tab w:val="left" w:pos="840"/>
        </w:tabs>
        <w:spacing w:before="240"/>
        <w:ind w:left="840" w:hanging="670"/>
      </w:pPr>
      <w:r>
        <w:t xml:space="preserve">Features y seguridad temporal</w:t>
      </w:r>
    </w:p>
    <w:p>
      <w:pPr>
        <w:pStyle w:val="BodyText"/>
        <w:spacing w:before="90" w:line="264" w:lineRule="auto"/>
        <w:ind w:left="170" w:right="120"/>
        <w:jc w:val="both"/>
      </w:pPr>
      <w:r>
        <w:rPr>
          <w:i w:val="0"/>
          <w:iCs w:val="0"/>
          <w:sz w:val="20"/>
          <w:szCs w:val="20"/>
        </w:rPr>
        <w:t xml:space="preserve">Para una ventana con fecha de scoring t sólo entran turnos con fecha anterior a t y encuestas respondidas antes de t. Se implementa con acumulados por vehículo y uniones temporales estrictas (merge_asof hacia atrás sin coincidencia exacta), y un notebook verifica que ninguna recencia sea menor o igual a cero. Ochenta y seis features en nueve grupos: recencia (días desde el último mantenimiento, turno y visita), frecuencia e intensidad (mantenimientos por año observado, visitas, diagnósticos, reparaciones, recalls), patrón de uso (km/año, atraso en km respecto del plan, services salteados), ciclo de vida (antigüedad, n° de service, generación, versión), canal (último canal, proporción FordPass), concesionario (concesionario y zona del último mantenimiento, cambios de dealer), relación (tamaño de flota, vehículos del cliente, cambios de cliente), venta (unidad de negocio, tipo de persona, canal, provincia) y geometría de la ventana (qué regla vence primero, días al vencimiento).</w:t>
      </w:r>
    </w:p>
    <w:p>
      <w:pPr>
        <w:pStyle w:val="BodyText"/>
        <w:spacing w:before="90" w:line="264" w:lineRule="auto"/>
        <w:ind w:left="170" w:right="120"/>
        <w:jc w:val="both"/>
      </w:pPr>
      <w:r>
        <w:rPr>
          <w:b/>
          <w:bCs/>
          <w:i w:val="0"/>
          <w:iCs w:val="0"/>
          <w:sz w:val="20"/>
          <w:szCs w:val="20"/>
        </w:rPr>
        <w:t xml:space="preserve">Anti-leakage.</w:t>
      </w:r>
      <w:r>
        <w:rPr>
          <w:i w:val="0"/>
          <w:iCs w:val="0"/>
          <w:sz w:val="20"/>
          <w:szCs w:val="20"/>
        </w:rPr>
        <w:t xml:space="preserve"> Sin KM ni ConnectedStatusARG (fotos a la extracción), sin turnos futuros (no hay fecha de creación del turno; "ya tiene turno" se usa como regla operativa posterior al modelo), sin ServiceMonth (nominal). Historia previa a 2024 invisible: el 60 % del parque tiene garantía anterior al inicio de la agenda; se mitiga con la antigüedad, el n° de service y "meses de historia observable" como features, y se verificó por ablación que no distorsiona el resultado.</w:t>
      </w:r>
    </w:p>
    <w:p>
      <w:pPr>
        <w:pStyle w:val="Heading3"/>
        <w:numPr>
          <w:ilvl w:val="2"/>
          <w:numId w:val="2"/>
        </w:numPr>
        <w:tabs>
          <w:tab w:val="left" w:pos="840"/>
        </w:tabs>
        <w:spacing w:before="240"/>
        <w:ind w:left="840" w:hanging="670"/>
      </w:pPr>
      <w:r>
        <w:t xml:space="preserve">Modelo, validación temporal y calibración</w:t>
      </w:r>
    </w:p>
    <w:p>
      <w:pPr>
        <w:pStyle w:val="BodyText"/>
        <w:spacing w:before="90" w:line="264" w:lineRule="auto"/>
        <w:ind w:left="170" w:right="120"/>
        <w:jc w:val="both"/>
      </w:pPr>
      <w:r>
        <w:rPr>
          <w:b/>
          <w:bCs/>
          <w:i w:val="0"/>
          <w:iCs w:val="0"/>
          <w:sz w:val="20"/>
          <w:szCs w:val="20"/>
        </w:rPr>
        <w:t xml:space="preserve">Modelo.</w:t>
      </w:r>
      <w:r>
        <w:rPr>
          <w:i w:val="0"/>
          <w:iCs w:val="0"/>
          <w:sz w:val="20"/>
          <w:szCs w:val="20"/>
        </w:rPr>
        <w:t xml:space="preserve"> LightGBM (gradient boosting) con categóricas nativas y early stopping. Baselines: azar (= prioridad uniforme actual), una heurística de reglas (antigüedad + no-shows) y una regresión logística con 24 features. </w:t>
      </w:r>
      <w:r>
        <w:rPr>
          <w:b/>
          <w:bCs/>
          <w:i w:val="0"/>
          <w:iCs w:val="0"/>
          <w:sz w:val="20"/>
          <w:szCs w:val="20"/>
        </w:rPr>
        <w:t xml:space="preserve">Validación temporal.</w:t>
      </w:r>
      <w:r>
        <w:rPr>
          <w:i w:val="0"/>
          <w:iCs w:val="0"/>
          <w:sz w:val="20"/>
          <w:szCs w:val="20"/>
        </w:rPr>
        <w:t xml:space="preserve"> Entrenamiento con ventanas abiertas hasta el 30/09/2025 (102.040), calibración isotónica en octubre-diciembre de 2025 (20.888), evaluación en ventanas abiertas entre enero y marzo de 2026 cuyo horizonte cerró al menos 30 días antes del corte (19.709). Una validación cruzada aleatoria mezclaría ventanas del mismo vehículo y ocultaría el cambio de composición del parque (la P375 cae de 5.856 a 2.009 mantenimientos mensuales mientras la P703 sube de 437 a 5.625).</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4300"/>
        <w:gridCol w:w="1100"/>
        <w:gridCol w:w="1100"/>
        <w:gridCol w:w="1100"/>
        <w:gridCol w:w="1000"/>
      </w:tblGrid>
      <w:tr>
        <w:trPr>
          <w:cantSplit/>
          <w:tblHeader/>
        </w:trPr>
        <w:tc>
          <w:tcPr>
            <w:tcW w:w="4300" w:type="dxa"/>
            <w:shd w:val="clear" w:color="auto" w:fill="EDEDED"/>
          </w:tcPr>
          <w:p>
            <w:pPr>
              <w:pStyle w:val="TableParagraph"/>
              <w:spacing w:before="20" w:after="20" w:line="220" w:lineRule="auto"/>
              <w:ind w:left="40"/>
              <w:jc w:val="left"/>
            </w:pPr>
            <w:r>
              <w:rPr>
                <w:b/>
                <w:bCs/>
                <w:i w:val="0"/>
                <w:iCs w:val="0"/>
                <w:sz w:val="17"/>
                <w:szCs w:val="17"/>
              </w:rPr>
              <w:t xml:space="preserve">Modelo (test: 19.709 ventanas, churn 42,6 %)</w:t>
            </w:r>
          </w:p>
        </w:tc>
        <w:tc>
          <w:tcPr>
            <w:tcW w:w="1100" w:type="dxa"/>
            <w:shd w:val="clear" w:color="auto" w:fill="EDEDED"/>
          </w:tcPr>
          <w:p>
            <w:pPr>
              <w:pStyle w:val="TableParagraph"/>
              <w:spacing w:before="20" w:after="20" w:line="220" w:lineRule="auto"/>
              <w:ind w:left="40"/>
              <w:jc w:val="left"/>
            </w:pPr>
            <w:r>
              <w:rPr>
                <w:b/>
                <w:bCs/>
                <w:i w:val="0"/>
                <w:iCs w:val="0"/>
                <w:sz w:val="17"/>
                <w:szCs w:val="17"/>
              </w:rPr>
              <w:t xml:space="preserve">ROC-AUC</w:t>
            </w:r>
          </w:p>
        </w:tc>
        <w:tc>
          <w:tcPr>
            <w:tcW w:w="1100" w:type="dxa"/>
            <w:shd w:val="clear" w:color="auto" w:fill="EDEDED"/>
          </w:tcPr>
          <w:p>
            <w:pPr>
              <w:pStyle w:val="TableParagraph"/>
              <w:spacing w:before="20" w:after="20" w:line="220" w:lineRule="auto"/>
              <w:ind w:left="40"/>
              <w:jc w:val="left"/>
            </w:pPr>
            <w:r>
              <w:rPr>
                <w:b/>
                <w:bCs/>
                <w:i w:val="0"/>
                <w:iCs w:val="0"/>
                <w:sz w:val="17"/>
                <w:szCs w:val="17"/>
              </w:rPr>
              <w:t xml:space="preserve">PR-AUC</w:t>
            </w:r>
          </w:p>
        </w:tc>
        <w:tc>
          <w:tcPr>
            <w:tcW w:w="1100" w:type="dxa"/>
            <w:shd w:val="clear" w:color="auto" w:fill="EDEDED"/>
          </w:tcPr>
          <w:p>
            <w:pPr>
              <w:pStyle w:val="TableParagraph"/>
              <w:spacing w:before="20" w:after="20" w:line="220" w:lineRule="auto"/>
              <w:ind w:left="40"/>
              <w:jc w:val="left"/>
            </w:pPr>
            <w:r>
              <w:rPr>
                <w:b/>
                <w:bCs/>
                <w:i w:val="0"/>
                <w:iCs w:val="0"/>
                <w:sz w:val="17"/>
                <w:szCs w:val="17"/>
              </w:rPr>
              <w:t xml:space="preserve">Brier</w:t>
            </w:r>
          </w:p>
        </w:tc>
        <w:tc>
          <w:tcPr>
            <w:tcW w:w="1000" w:type="dxa"/>
            <w:shd w:val="clear" w:color="auto" w:fill="EDEDED"/>
          </w:tcPr>
          <w:p>
            <w:pPr>
              <w:pStyle w:val="TableParagraph"/>
              <w:spacing w:before="20" w:after="20" w:line="220" w:lineRule="auto"/>
              <w:ind w:left="40"/>
              <w:jc w:val="left"/>
            </w:pPr>
            <w:r>
              <w:rPr>
                <w:b/>
                <w:bCs/>
                <w:i w:val="0"/>
                <w:iCs w:val="0"/>
                <w:sz w:val="17"/>
                <w:szCs w:val="17"/>
              </w:rPr>
              <w:t xml:space="preserve">ECE</w:t>
            </w:r>
          </w:p>
        </w:tc>
      </w:tr>
      <w:tr>
        <w:trPr>
          <w:cantSplit/>
        </w:trPr>
        <w:tc>
          <w:tcPr>
            <w:tcW w:w="4300" w:type="dxa"/>
          </w:tcPr>
          <w:p>
            <w:pPr>
              <w:pStyle w:val="TableParagraph"/>
              <w:spacing w:before="20" w:after="20" w:line="220" w:lineRule="auto"/>
              <w:ind w:left="40"/>
              <w:jc w:val="left"/>
            </w:pPr>
            <w:r>
              <w:rPr>
                <w:i w:val="0"/>
                <w:iCs w:val="0"/>
                <w:sz w:val="17"/>
                <w:szCs w:val="17"/>
              </w:rPr>
              <w:t xml:space="preserve">Azar (prioridad uniforme, situación actual)</w:t>
            </w:r>
          </w:p>
        </w:tc>
        <w:tc>
          <w:tcPr>
            <w:tcW w:w="1100" w:type="dxa"/>
          </w:tcPr>
          <w:p>
            <w:pPr>
              <w:pStyle w:val="TableParagraph"/>
              <w:spacing w:before="20" w:after="20" w:line="220" w:lineRule="auto"/>
              <w:ind w:left="40"/>
              <w:jc w:val="left"/>
            </w:pPr>
            <w:r>
              <w:rPr>
                <w:i w:val="0"/>
                <w:iCs w:val="0"/>
                <w:sz w:val="17"/>
                <w:szCs w:val="17"/>
              </w:rPr>
              <w:t xml:space="preserve">0,497</w:t>
            </w:r>
          </w:p>
        </w:tc>
        <w:tc>
          <w:tcPr>
            <w:tcW w:w="1100" w:type="dxa"/>
          </w:tcPr>
          <w:p>
            <w:pPr>
              <w:pStyle w:val="TableParagraph"/>
              <w:spacing w:before="20" w:after="20" w:line="220" w:lineRule="auto"/>
              <w:ind w:left="40"/>
              <w:jc w:val="left"/>
            </w:pPr>
            <w:r>
              <w:rPr>
                <w:i w:val="0"/>
                <w:iCs w:val="0"/>
                <w:sz w:val="17"/>
                <w:szCs w:val="17"/>
              </w:rPr>
              <w:t xml:space="preserve">0,422</w:t>
            </w:r>
          </w:p>
        </w:tc>
        <w:tc>
          <w:tcPr>
            <w:tcW w:w="1100" w:type="dxa"/>
          </w:tcPr>
          <w:p>
            <w:pPr>
              <w:pStyle w:val="TableParagraph"/>
              <w:spacing w:before="20" w:after="20" w:line="220" w:lineRule="auto"/>
              <w:ind w:left="40"/>
              <w:jc w:val="left"/>
            </w:pPr>
            <w:r>
              <w:rPr>
                <w:i w:val="0"/>
                <w:iCs w:val="0"/>
                <w:sz w:val="17"/>
                <w:szCs w:val="17"/>
              </w:rPr>
              <w:t xml:space="preserve">0,335</w:t>
            </w:r>
          </w:p>
        </w:tc>
        <w:tc>
          <w:tcPr>
            <w:tcW w:w="1000" w:type="dxa"/>
          </w:tcPr>
          <w:p>
            <w:pPr>
              <w:pStyle w:val="TableParagraph"/>
              <w:spacing w:before="20" w:after="20" w:line="220" w:lineRule="auto"/>
              <w:ind w:left="40"/>
              <w:jc w:val="left"/>
            </w:pPr>
            <w:r>
              <w:rPr>
                <w:i w:val="0"/>
                <w:iCs w:val="0"/>
                <w:sz w:val="17"/>
                <w:szCs w:val="17"/>
              </w:rPr>
              <w:t xml:space="preserve">0,255</w:t>
            </w:r>
          </w:p>
        </w:tc>
      </w:tr>
      <w:tr>
        <w:trPr>
          <w:cantSplit/>
        </w:trPr>
        <w:tc>
          <w:tcPr>
            <w:tcW w:w="4300" w:type="dxa"/>
          </w:tcPr>
          <w:p>
            <w:pPr>
              <w:pStyle w:val="TableParagraph"/>
              <w:spacing w:before="20" w:after="20" w:line="220" w:lineRule="auto"/>
              <w:ind w:left="40"/>
              <w:jc w:val="left"/>
            </w:pPr>
            <w:r>
              <w:rPr>
                <w:i w:val="0"/>
                <w:iCs w:val="0"/>
                <w:sz w:val="17"/>
                <w:szCs w:val="17"/>
              </w:rPr>
              <w:t xml:space="preserve">Heurística de reglas</w:t>
            </w:r>
          </w:p>
        </w:tc>
        <w:tc>
          <w:tcPr>
            <w:tcW w:w="1100" w:type="dxa"/>
          </w:tcPr>
          <w:p>
            <w:pPr>
              <w:pStyle w:val="TableParagraph"/>
              <w:spacing w:before="20" w:after="20" w:line="220" w:lineRule="auto"/>
              <w:ind w:left="40"/>
              <w:jc w:val="left"/>
            </w:pPr>
            <w:r>
              <w:rPr>
                <w:i w:val="0"/>
                <w:iCs w:val="0"/>
                <w:sz w:val="17"/>
                <w:szCs w:val="17"/>
              </w:rPr>
              <w:t xml:space="preserve">0,609</w:t>
            </w:r>
          </w:p>
        </w:tc>
        <w:tc>
          <w:tcPr>
            <w:tcW w:w="1100" w:type="dxa"/>
          </w:tcPr>
          <w:p>
            <w:pPr>
              <w:pStyle w:val="TableParagraph"/>
              <w:spacing w:before="20" w:after="20" w:line="220" w:lineRule="auto"/>
              <w:ind w:left="40"/>
              <w:jc w:val="left"/>
            </w:pPr>
            <w:r>
              <w:rPr>
                <w:i w:val="0"/>
                <w:iCs w:val="0"/>
                <w:sz w:val="17"/>
                <w:szCs w:val="17"/>
              </w:rPr>
              <w:t xml:space="preserve">0,518</w:t>
            </w:r>
          </w:p>
        </w:tc>
        <w:tc>
          <w:tcPr>
            <w:tcW w:w="1100" w:type="dxa"/>
          </w:tcPr>
          <w:p>
            <w:pPr>
              <w:pStyle w:val="TableParagraph"/>
              <w:spacing w:before="20" w:after="20" w:line="220" w:lineRule="auto"/>
              <w:ind w:left="40"/>
              <w:jc w:val="left"/>
            </w:pPr>
            <w:r>
              <w:rPr>
                <w:i w:val="0"/>
                <w:iCs w:val="0"/>
                <w:sz w:val="17"/>
                <w:szCs w:val="17"/>
              </w:rPr>
              <w:t xml:space="preserve">—</w:t>
            </w:r>
          </w:p>
        </w:tc>
        <w:tc>
          <w:tcPr>
            <w:tcW w:w="1000" w:type="dxa"/>
          </w:tcPr>
          <w:p>
            <w:pPr>
              <w:pStyle w:val="TableParagraph"/>
              <w:spacing w:before="20" w:after="20" w:line="220" w:lineRule="auto"/>
              <w:ind w:left="40"/>
              <w:jc w:val="left"/>
            </w:pPr>
            <w:r>
              <w:rPr>
                <w:i w:val="0"/>
                <w:iCs w:val="0"/>
                <w:sz w:val="17"/>
                <w:szCs w:val="17"/>
              </w:rPr>
              <w:t xml:space="preserve">—</w:t>
            </w:r>
          </w:p>
        </w:tc>
      </w:tr>
      <w:tr>
        <w:trPr>
          <w:cantSplit/>
        </w:trPr>
        <w:tc>
          <w:tcPr>
            <w:tcW w:w="4300" w:type="dxa"/>
          </w:tcPr>
          <w:p>
            <w:pPr>
              <w:pStyle w:val="TableParagraph"/>
              <w:spacing w:before="20" w:after="20" w:line="220" w:lineRule="auto"/>
              <w:ind w:left="40"/>
              <w:jc w:val="left"/>
            </w:pPr>
            <w:r>
              <w:rPr>
                <w:i w:val="0"/>
                <w:iCs w:val="0"/>
                <w:sz w:val="17"/>
                <w:szCs w:val="17"/>
              </w:rPr>
              <w:t xml:space="preserve">Regresión logística (calibrada)</w:t>
            </w:r>
          </w:p>
        </w:tc>
        <w:tc>
          <w:tcPr>
            <w:tcW w:w="1100" w:type="dxa"/>
          </w:tcPr>
          <w:p>
            <w:pPr>
              <w:pStyle w:val="TableParagraph"/>
              <w:spacing w:before="20" w:after="20" w:line="220" w:lineRule="auto"/>
              <w:ind w:left="40"/>
              <w:jc w:val="left"/>
            </w:pPr>
            <w:r>
              <w:rPr>
                <w:i w:val="0"/>
                <w:iCs w:val="0"/>
                <w:sz w:val="17"/>
                <w:szCs w:val="17"/>
              </w:rPr>
              <w:t xml:space="preserve">0,674</w:t>
            </w:r>
          </w:p>
        </w:tc>
        <w:tc>
          <w:tcPr>
            <w:tcW w:w="1100" w:type="dxa"/>
          </w:tcPr>
          <w:p>
            <w:pPr>
              <w:pStyle w:val="TableParagraph"/>
              <w:spacing w:before="20" w:after="20" w:line="220" w:lineRule="auto"/>
              <w:ind w:left="40"/>
              <w:jc w:val="left"/>
            </w:pPr>
            <w:r>
              <w:rPr>
                <w:i w:val="0"/>
                <w:iCs w:val="0"/>
                <w:sz w:val="17"/>
                <w:szCs w:val="17"/>
              </w:rPr>
              <w:t xml:space="preserve">0,596</w:t>
            </w:r>
          </w:p>
        </w:tc>
        <w:tc>
          <w:tcPr>
            <w:tcW w:w="1100" w:type="dxa"/>
          </w:tcPr>
          <w:p>
            <w:pPr>
              <w:pStyle w:val="TableParagraph"/>
              <w:spacing w:before="20" w:after="20" w:line="220" w:lineRule="auto"/>
              <w:ind w:left="40"/>
              <w:jc w:val="left"/>
            </w:pPr>
            <w:r>
              <w:rPr>
                <w:i w:val="0"/>
                <w:iCs w:val="0"/>
                <w:sz w:val="17"/>
                <w:szCs w:val="17"/>
              </w:rPr>
              <w:t xml:space="preserve">0,222</w:t>
            </w:r>
          </w:p>
        </w:tc>
        <w:tc>
          <w:tcPr>
            <w:tcW w:w="1000" w:type="dxa"/>
          </w:tcPr>
          <w:p>
            <w:pPr>
              <w:pStyle w:val="TableParagraph"/>
              <w:spacing w:before="20" w:after="20" w:line="220" w:lineRule="auto"/>
              <w:ind w:left="40"/>
              <w:jc w:val="left"/>
            </w:pPr>
            <w:r>
              <w:rPr>
                <w:i w:val="0"/>
                <w:iCs w:val="0"/>
                <w:sz w:val="17"/>
                <w:szCs w:val="17"/>
              </w:rPr>
              <w:t xml:space="preserve">0,018</w:t>
            </w:r>
          </w:p>
        </w:tc>
      </w:tr>
      <w:tr>
        <w:trPr>
          <w:cantSplit/>
        </w:trPr>
        <w:tc>
          <w:tcPr>
            <w:tcW w:w="4300" w:type="dxa"/>
          </w:tcPr>
          <w:p>
            <w:pPr>
              <w:pStyle w:val="TableParagraph"/>
              <w:spacing w:before="20" w:after="20" w:line="220" w:lineRule="auto"/>
              <w:ind w:left="40"/>
              <w:jc w:val="left"/>
            </w:pPr>
            <w:r>
              <w:rPr>
                <w:b/>
                <w:bCs/>
                <w:i w:val="0"/>
                <w:iCs w:val="0"/>
                <w:sz w:val="17"/>
                <w:szCs w:val="17"/>
              </w:rPr>
              <w:t xml:space="preserve">LightGBM calibrado</w:t>
            </w:r>
          </w:p>
        </w:tc>
        <w:tc>
          <w:tcPr>
            <w:tcW w:w="1100" w:type="dxa"/>
          </w:tcPr>
          <w:p>
            <w:pPr>
              <w:pStyle w:val="TableParagraph"/>
              <w:spacing w:before="20" w:after="20" w:line="220" w:lineRule="auto"/>
              <w:ind w:left="40"/>
              <w:jc w:val="left"/>
            </w:pPr>
            <w:r>
              <w:rPr>
                <w:b/>
                <w:bCs/>
                <w:i w:val="0"/>
                <w:iCs w:val="0"/>
                <w:sz w:val="17"/>
                <w:szCs w:val="17"/>
              </w:rPr>
              <w:t xml:space="preserve">0,740</w:t>
            </w:r>
          </w:p>
        </w:tc>
        <w:tc>
          <w:tcPr>
            <w:tcW w:w="1100" w:type="dxa"/>
          </w:tcPr>
          <w:p>
            <w:pPr>
              <w:pStyle w:val="TableParagraph"/>
              <w:spacing w:before="20" w:after="20" w:line="220" w:lineRule="auto"/>
              <w:ind w:left="40"/>
              <w:jc w:val="left"/>
            </w:pPr>
            <w:r>
              <w:rPr>
                <w:b/>
                <w:bCs/>
                <w:i w:val="0"/>
                <w:iCs w:val="0"/>
                <w:sz w:val="17"/>
                <w:szCs w:val="17"/>
              </w:rPr>
              <w:t xml:space="preserve">0,704</w:t>
            </w:r>
          </w:p>
        </w:tc>
        <w:tc>
          <w:tcPr>
            <w:tcW w:w="1100" w:type="dxa"/>
          </w:tcPr>
          <w:p>
            <w:pPr>
              <w:pStyle w:val="TableParagraph"/>
              <w:spacing w:before="20" w:after="20" w:line="220" w:lineRule="auto"/>
              <w:ind w:left="40"/>
              <w:jc w:val="left"/>
            </w:pPr>
            <w:r>
              <w:rPr>
                <w:b/>
                <w:bCs/>
                <w:i w:val="0"/>
                <w:iCs w:val="0"/>
                <w:sz w:val="17"/>
                <w:szCs w:val="17"/>
              </w:rPr>
              <w:t xml:space="preserve">0,199</w:t>
            </w:r>
          </w:p>
        </w:tc>
        <w:tc>
          <w:tcPr>
            <w:tcW w:w="1000" w:type="dxa"/>
          </w:tcPr>
          <w:p>
            <w:pPr>
              <w:pStyle w:val="TableParagraph"/>
              <w:spacing w:before="20" w:after="20" w:line="220" w:lineRule="auto"/>
              <w:ind w:left="40"/>
              <w:jc w:val="left"/>
            </w:pPr>
            <w:r>
              <w:rPr>
                <w:b/>
                <w:bCs/>
                <w:i w:val="0"/>
                <w:iCs w:val="0"/>
                <w:sz w:val="17"/>
                <w:szCs w:val="17"/>
              </w:rPr>
              <w:t xml:space="preserve">0,010</w:t>
            </w:r>
          </w:p>
        </w:tc>
      </w:tr>
    </w:tbl>
    <w:p>
      <w:pPr>
        <w:pStyle w:val="BodyText"/>
        <w:spacing w:before="20" w:line="264" w:lineRule="auto"/>
        <w:ind w:left="170" w:right="120"/>
        <w:jc w:val="both"/>
      </w:pPr>
    </w:p>
    <w:p>
      <w:pPr>
        <w:pStyle w:val="BodyText"/>
        <w:spacing w:before="90" w:line="264" w:lineRule="auto"/>
        <w:ind w:left="170" w:right="120"/>
        <w:jc w:val="both"/>
      </w:pPr>
      <w:r>
        <w:rPr>
          <w:b/>
          <w:bCs/>
          <w:i w:val="0"/>
          <w:iCs w:val="0"/>
          <w:sz w:val="20"/>
          <w:szCs w:val="20"/>
        </w:rPr>
        <w:t xml:space="preserve">Lo que importa operativamente es el recall a capacidad de contacto</w:t>
      </w:r>
      <w:r>
        <w:rPr>
          <w:i w:val="0"/>
          <w:iCs w:val="0"/>
          <w:sz w:val="20"/>
          <w:szCs w:val="20"/>
        </w:rPr>
        <w:t xml:space="preserve">: si la red puede llamar al X % de la población en ventana, ¿a qué fracción de los churners alcanza? Con 3.000 contactos humanos por mes en toda la red, el modelo alcanza al 65 % de los churners con una precisión del 61 %.</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1300"/>
        <w:gridCol w:w="1500"/>
        <w:gridCol w:w="1900"/>
        <w:gridCol w:w="1200"/>
        <w:gridCol w:w="1300"/>
        <w:gridCol w:w="1400"/>
      </w:tblGrid>
      <w:tr>
        <w:trPr>
          <w:cantSplit/>
          <w:tblHeader/>
        </w:trPr>
        <w:tc>
          <w:tcPr>
            <w:tcW w:w="1300" w:type="dxa"/>
            <w:shd w:val="clear" w:color="auto" w:fill="EDEDED"/>
          </w:tcPr>
          <w:p>
            <w:pPr>
              <w:pStyle w:val="TableParagraph"/>
              <w:spacing w:before="20" w:after="20" w:line="220" w:lineRule="auto"/>
              <w:ind w:left="40"/>
              <w:jc w:val="left"/>
            </w:pPr>
            <w:r>
              <w:rPr>
                <w:b/>
                <w:bCs/>
                <w:i w:val="0"/>
                <w:iCs w:val="0"/>
                <w:sz w:val="17"/>
                <w:szCs w:val="17"/>
              </w:rPr>
              <w:t xml:space="preserve">Capacidad</w:t>
            </w:r>
          </w:p>
        </w:tc>
        <w:tc>
          <w:tcPr>
            <w:tcW w:w="1500" w:type="dxa"/>
            <w:shd w:val="clear" w:color="auto" w:fill="EDEDED"/>
          </w:tcPr>
          <w:p>
            <w:pPr>
              <w:pStyle w:val="TableParagraph"/>
              <w:spacing w:before="20" w:after="20" w:line="220" w:lineRule="auto"/>
              <w:ind w:left="40"/>
              <w:jc w:val="left"/>
            </w:pPr>
            <w:r>
              <w:rPr>
                <w:b/>
                <w:bCs/>
                <w:i w:val="0"/>
                <w:iCs w:val="0"/>
                <w:sz w:val="17"/>
                <w:szCs w:val="17"/>
              </w:rPr>
              <w:t xml:space="preserve">Contactados</w:t>
            </w:r>
          </w:p>
        </w:tc>
        <w:tc>
          <w:tcPr>
            <w:tcW w:w="1900" w:type="dxa"/>
            <w:shd w:val="clear" w:color="auto" w:fill="EDEDED"/>
          </w:tcPr>
          <w:p>
            <w:pPr>
              <w:pStyle w:val="TableParagraph"/>
              <w:spacing w:before="20" w:after="20" w:line="220" w:lineRule="auto"/>
              <w:ind w:left="40"/>
              <w:jc w:val="left"/>
            </w:pPr>
            <w:r>
              <w:rPr>
                <w:b/>
                <w:bCs/>
                <w:i w:val="0"/>
                <w:iCs w:val="0"/>
                <w:sz w:val="17"/>
                <w:szCs w:val="17"/>
              </w:rPr>
              <w:t xml:space="preserve">Churners alcanzados</w:t>
            </w:r>
          </w:p>
        </w:tc>
        <w:tc>
          <w:tcPr>
            <w:tcW w:w="1200" w:type="dxa"/>
            <w:shd w:val="clear" w:color="auto" w:fill="EDEDED"/>
          </w:tcPr>
          <w:p>
            <w:pPr>
              <w:pStyle w:val="TableParagraph"/>
              <w:spacing w:before="20" w:after="20" w:line="220" w:lineRule="auto"/>
              <w:ind w:left="40"/>
              <w:jc w:val="left"/>
            </w:pPr>
            <w:r>
              <w:rPr>
                <w:b/>
                <w:bCs/>
                <w:i w:val="0"/>
                <w:iCs w:val="0"/>
                <w:sz w:val="17"/>
                <w:szCs w:val="17"/>
              </w:rPr>
              <w:t xml:space="preserve">Recall</w:t>
            </w:r>
          </w:p>
        </w:tc>
        <w:tc>
          <w:tcPr>
            <w:tcW w:w="1300" w:type="dxa"/>
            <w:shd w:val="clear" w:color="auto" w:fill="EDEDED"/>
          </w:tcPr>
          <w:p>
            <w:pPr>
              <w:pStyle w:val="TableParagraph"/>
              <w:spacing w:before="20" w:after="20" w:line="220" w:lineRule="auto"/>
              <w:ind w:left="40"/>
              <w:jc w:val="left"/>
            </w:pPr>
            <w:r>
              <w:rPr>
                <w:b/>
                <w:bCs/>
                <w:i w:val="0"/>
                <w:iCs w:val="0"/>
                <w:sz w:val="17"/>
                <w:szCs w:val="17"/>
              </w:rPr>
              <w:t xml:space="preserve">Precisión</w:t>
            </w:r>
          </w:p>
        </w:tc>
        <w:tc>
          <w:tcPr>
            <w:tcW w:w="1400" w:type="dxa"/>
            <w:shd w:val="clear" w:color="auto" w:fill="EDEDED"/>
          </w:tcPr>
          <w:p>
            <w:pPr>
              <w:pStyle w:val="TableParagraph"/>
              <w:spacing w:before="20" w:after="20" w:line="220" w:lineRule="auto"/>
              <w:ind w:left="40"/>
              <w:jc w:val="left"/>
            </w:pPr>
            <w:r>
              <w:rPr>
                <w:b/>
                <w:bCs/>
                <w:i w:val="0"/>
                <w:iCs w:val="0"/>
                <w:sz w:val="17"/>
                <w:szCs w:val="17"/>
              </w:rPr>
              <w:t xml:space="preserve">Lift vs azar</w:t>
            </w:r>
          </w:p>
        </w:tc>
      </w:tr>
      <w:tr>
        <w:trPr>
          <w:cantSplit/>
        </w:trPr>
        <w:tc>
          <w:tcPr>
            <w:tcW w:w="1300" w:type="dxa"/>
          </w:tcPr>
          <w:p>
            <w:pPr>
              <w:pStyle w:val="TableParagraph"/>
              <w:spacing w:before="20" w:after="20" w:line="220" w:lineRule="auto"/>
              <w:ind w:left="40"/>
              <w:jc w:val="left"/>
            </w:pPr>
            <w:r>
              <w:rPr>
                <w:i w:val="0"/>
                <w:iCs w:val="0"/>
                <w:sz w:val="17"/>
                <w:szCs w:val="17"/>
              </w:rPr>
              <w:t xml:space="preserve">5 %</w:t>
            </w:r>
          </w:p>
        </w:tc>
        <w:tc>
          <w:tcPr>
            <w:tcW w:w="1500" w:type="dxa"/>
          </w:tcPr>
          <w:p>
            <w:pPr>
              <w:pStyle w:val="TableParagraph"/>
              <w:spacing w:before="20" w:after="20" w:line="220" w:lineRule="auto"/>
              <w:ind w:left="40"/>
              <w:jc w:val="left"/>
            </w:pPr>
            <w:r>
              <w:rPr>
                <w:i w:val="0"/>
                <w:iCs w:val="0"/>
                <w:sz w:val="17"/>
                <w:szCs w:val="17"/>
              </w:rPr>
              <w:t xml:space="preserve">985</w:t>
            </w:r>
          </w:p>
        </w:tc>
        <w:tc>
          <w:tcPr>
            <w:tcW w:w="1900" w:type="dxa"/>
          </w:tcPr>
          <w:p>
            <w:pPr>
              <w:pStyle w:val="TableParagraph"/>
              <w:spacing w:before="20" w:after="20" w:line="220" w:lineRule="auto"/>
              <w:ind w:left="40"/>
              <w:jc w:val="left"/>
            </w:pPr>
            <w:r>
              <w:rPr>
                <w:i w:val="0"/>
                <w:iCs w:val="0"/>
                <w:sz w:val="17"/>
                <w:szCs w:val="17"/>
              </w:rPr>
              <w:t xml:space="preserve">969</w:t>
            </w:r>
          </w:p>
        </w:tc>
        <w:tc>
          <w:tcPr>
            <w:tcW w:w="1200" w:type="dxa"/>
          </w:tcPr>
          <w:p>
            <w:pPr>
              <w:pStyle w:val="TableParagraph"/>
              <w:spacing w:before="20" w:after="20" w:line="220" w:lineRule="auto"/>
              <w:ind w:left="40"/>
              <w:jc w:val="left"/>
            </w:pPr>
            <w:r>
              <w:rPr>
                <w:i w:val="0"/>
                <w:iCs w:val="0"/>
                <w:sz w:val="17"/>
                <w:szCs w:val="17"/>
              </w:rPr>
              <w:t xml:space="preserve">11,5 %</w:t>
            </w:r>
          </w:p>
        </w:tc>
        <w:tc>
          <w:tcPr>
            <w:tcW w:w="1300" w:type="dxa"/>
          </w:tcPr>
          <w:p>
            <w:pPr>
              <w:pStyle w:val="TableParagraph"/>
              <w:spacing w:before="20" w:after="20" w:line="220" w:lineRule="auto"/>
              <w:ind w:left="40"/>
              <w:jc w:val="left"/>
            </w:pPr>
            <w:r>
              <w:rPr>
                <w:i w:val="0"/>
                <w:iCs w:val="0"/>
                <w:sz w:val="17"/>
                <w:szCs w:val="17"/>
              </w:rPr>
              <w:t xml:space="preserve">98 %</w:t>
            </w:r>
          </w:p>
        </w:tc>
        <w:tc>
          <w:tcPr>
            <w:tcW w:w="1400" w:type="dxa"/>
          </w:tcPr>
          <w:p>
            <w:pPr>
              <w:pStyle w:val="TableParagraph"/>
              <w:spacing w:before="20" w:after="20" w:line="220" w:lineRule="auto"/>
              <w:ind w:left="40"/>
              <w:jc w:val="left"/>
            </w:pPr>
            <w:r>
              <w:rPr>
                <w:i w:val="0"/>
                <w:iCs w:val="0"/>
                <w:sz w:val="17"/>
                <w:szCs w:val="17"/>
              </w:rPr>
              <w:t xml:space="preserve">2,3×</w:t>
            </w:r>
          </w:p>
        </w:tc>
      </w:tr>
      <w:tr>
        <w:trPr>
          <w:cantSplit/>
        </w:trPr>
        <w:tc>
          <w:tcPr>
            <w:tcW w:w="1300" w:type="dxa"/>
          </w:tcPr>
          <w:p>
            <w:pPr>
              <w:pStyle w:val="TableParagraph"/>
              <w:spacing w:before="20" w:after="20" w:line="220" w:lineRule="auto"/>
              <w:ind w:left="40"/>
              <w:jc w:val="left"/>
            </w:pPr>
            <w:r>
              <w:rPr>
                <w:i w:val="0"/>
                <w:iCs w:val="0"/>
                <w:sz w:val="17"/>
                <w:szCs w:val="17"/>
              </w:rPr>
              <w:t xml:space="preserve">10 %</w:t>
            </w:r>
          </w:p>
        </w:tc>
        <w:tc>
          <w:tcPr>
            <w:tcW w:w="1500" w:type="dxa"/>
          </w:tcPr>
          <w:p>
            <w:pPr>
              <w:pStyle w:val="TableParagraph"/>
              <w:spacing w:before="20" w:after="20" w:line="220" w:lineRule="auto"/>
              <w:ind w:left="40"/>
              <w:jc w:val="left"/>
            </w:pPr>
            <w:r>
              <w:rPr>
                <w:i w:val="0"/>
                <w:iCs w:val="0"/>
                <w:sz w:val="17"/>
                <w:szCs w:val="17"/>
              </w:rPr>
              <w:t xml:space="preserve">1.971</w:t>
            </w:r>
          </w:p>
        </w:tc>
        <w:tc>
          <w:tcPr>
            <w:tcW w:w="1900" w:type="dxa"/>
          </w:tcPr>
          <w:p>
            <w:pPr>
              <w:pStyle w:val="TableParagraph"/>
              <w:spacing w:before="20" w:after="20" w:line="220" w:lineRule="auto"/>
              <w:ind w:left="40"/>
              <w:jc w:val="left"/>
            </w:pPr>
            <w:r>
              <w:rPr>
                <w:i w:val="0"/>
                <w:iCs w:val="0"/>
                <w:sz w:val="17"/>
                <w:szCs w:val="17"/>
              </w:rPr>
              <w:t xml:space="preserve">1.742</w:t>
            </w:r>
          </w:p>
        </w:tc>
        <w:tc>
          <w:tcPr>
            <w:tcW w:w="1200" w:type="dxa"/>
          </w:tcPr>
          <w:p>
            <w:pPr>
              <w:pStyle w:val="TableParagraph"/>
              <w:spacing w:before="20" w:after="20" w:line="220" w:lineRule="auto"/>
              <w:ind w:left="40"/>
              <w:jc w:val="left"/>
            </w:pPr>
            <w:r>
              <w:rPr>
                <w:i w:val="0"/>
                <w:iCs w:val="0"/>
                <w:sz w:val="17"/>
                <w:szCs w:val="17"/>
              </w:rPr>
              <w:t xml:space="preserve">20,7 %</w:t>
            </w:r>
          </w:p>
        </w:tc>
        <w:tc>
          <w:tcPr>
            <w:tcW w:w="1300" w:type="dxa"/>
          </w:tcPr>
          <w:p>
            <w:pPr>
              <w:pStyle w:val="TableParagraph"/>
              <w:spacing w:before="20" w:after="20" w:line="220" w:lineRule="auto"/>
              <w:ind w:left="40"/>
              <w:jc w:val="left"/>
            </w:pPr>
            <w:r>
              <w:rPr>
                <w:i w:val="0"/>
                <w:iCs w:val="0"/>
                <w:sz w:val="17"/>
                <w:szCs w:val="17"/>
              </w:rPr>
              <w:t xml:space="preserve">88 %</w:t>
            </w:r>
          </w:p>
        </w:tc>
        <w:tc>
          <w:tcPr>
            <w:tcW w:w="1400" w:type="dxa"/>
          </w:tcPr>
          <w:p>
            <w:pPr>
              <w:pStyle w:val="TableParagraph"/>
              <w:spacing w:before="20" w:after="20" w:line="220" w:lineRule="auto"/>
              <w:ind w:left="40"/>
              <w:jc w:val="left"/>
            </w:pPr>
            <w:r>
              <w:rPr>
                <w:i w:val="0"/>
                <w:iCs w:val="0"/>
                <w:sz w:val="17"/>
                <w:szCs w:val="17"/>
              </w:rPr>
              <w:t xml:space="preserve">2,1×</w:t>
            </w:r>
          </w:p>
        </w:tc>
      </w:tr>
      <w:tr>
        <w:trPr>
          <w:cantSplit/>
        </w:trPr>
        <w:tc>
          <w:tcPr>
            <w:tcW w:w="1300" w:type="dxa"/>
          </w:tcPr>
          <w:p>
            <w:pPr>
              <w:pStyle w:val="TableParagraph"/>
              <w:spacing w:before="20" w:after="20" w:line="220" w:lineRule="auto"/>
              <w:ind w:left="40"/>
              <w:jc w:val="left"/>
            </w:pPr>
            <w:r>
              <w:rPr>
                <w:b/>
                <w:bCs/>
                <w:i w:val="0"/>
                <w:iCs w:val="0"/>
                <w:sz w:val="17"/>
                <w:szCs w:val="17"/>
              </w:rPr>
              <w:t xml:space="preserve">20 %</w:t>
            </w:r>
          </w:p>
        </w:tc>
        <w:tc>
          <w:tcPr>
            <w:tcW w:w="1500" w:type="dxa"/>
          </w:tcPr>
          <w:p>
            <w:pPr>
              <w:pStyle w:val="TableParagraph"/>
              <w:spacing w:before="20" w:after="20" w:line="220" w:lineRule="auto"/>
              <w:ind w:left="40"/>
              <w:jc w:val="left"/>
            </w:pPr>
            <w:r>
              <w:rPr>
                <w:b/>
                <w:bCs/>
                <w:i w:val="0"/>
                <w:iCs w:val="0"/>
                <w:sz w:val="17"/>
                <w:szCs w:val="17"/>
              </w:rPr>
              <w:t xml:space="preserve">3.942</w:t>
            </w:r>
          </w:p>
        </w:tc>
        <w:tc>
          <w:tcPr>
            <w:tcW w:w="1900" w:type="dxa"/>
          </w:tcPr>
          <w:p>
            <w:pPr>
              <w:pStyle w:val="TableParagraph"/>
              <w:spacing w:before="20" w:after="20" w:line="220" w:lineRule="auto"/>
              <w:ind w:left="40"/>
              <w:jc w:val="left"/>
            </w:pPr>
            <w:r>
              <w:rPr>
                <w:b/>
                <w:bCs/>
                <w:i w:val="0"/>
                <w:iCs w:val="0"/>
                <w:sz w:val="17"/>
                <w:szCs w:val="17"/>
              </w:rPr>
              <w:t xml:space="preserve">3.055</w:t>
            </w:r>
          </w:p>
        </w:tc>
        <w:tc>
          <w:tcPr>
            <w:tcW w:w="1200" w:type="dxa"/>
          </w:tcPr>
          <w:p>
            <w:pPr>
              <w:pStyle w:val="TableParagraph"/>
              <w:spacing w:before="20" w:after="20" w:line="220" w:lineRule="auto"/>
              <w:ind w:left="40"/>
              <w:jc w:val="left"/>
            </w:pPr>
            <w:r>
              <w:rPr>
                <w:b/>
                <w:bCs/>
                <w:i w:val="0"/>
                <w:iCs w:val="0"/>
                <w:sz w:val="17"/>
                <w:szCs w:val="17"/>
              </w:rPr>
              <w:t xml:space="preserve">36,4 %</w:t>
            </w:r>
          </w:p>
        </w:tc>
        <w:tc>
          <w:tcPr>
            <w:tcW w:w="1300" w:type="dxa"/>
          </w:tcPr>
          <w:p>
            <w:pPr>
              <w:pStyle w:val="TableParagraph"/>
              <w:spacing w:before="20" w:after="20" w:line="220" w:lineRule="auto"/>
              <w:ind w:left="40"/>
              <w:jc w:val="left"/>
            </w:pPr>
            <w:r>
              <w:rPr>
                <w:b/>
                <w:bCs/>
                <w:i w:val="0"/>
                <w:iCs w:val="0"/>
                <w:sz w:val="17"/>
                <w:szCs w:val="17"/>
              </w:rPr>
              <w:t xml:space="preserve">78 %</w:t>
            </w:r>
          </w:p>
        </w:tc>
        <w:tc>
          <w:tcPr>
            <w:tcW w:w="1400" w:type="dxa"/>
          </w:tcPr>
          <w:p>
            <w:pPr>
              <w:pStyle w:val="TableParagraph"/>
              <w:spacing w:before="20" w:after="20" w:line="220" w:lineRule="auto"/>
              <w:ind w:left="40"/>
              <w:jc w:val="left"/>
            </w:pPr>
            <w:r>
              <w:rPr>
                <w:b/>
                <w:bCs/>
                <w:i w:val="0"/>
                <w:iCs w:val="0"/>
                <w:sz w:val="17"/>
                <w:szCs w:val="17"/>
              </w:rPr>
              <w:t xml:space="preserve">1,8×</w:t>
            </w:r>
          </w:p>
        </w:tc>
      </w:tr>
      <w:tr>
        <w:trPr>
          <w:cantSplit/>
        </w:trPr>
        <w:tc>
          <w:tcPr>
            <w:tcW w:w="1300" w:type="dxa"/>
          </w:tcPr>
          <w:p>
            <w:pPr>
              <w:pStyle w:val="TableParagraph"/>
              <w:spacing w:before="20" w:after="20" w:line="220" w:lineRule="auto"/>
              <w:ind w:left="40"/>
              <w:jc w:val="left"/>
            </w:pPr>
            <w:r>
              <w:rPr>
                <w:i w:val="0"/>
                <w:iCs w:val="0"/>
                <w:sz w:val="17"/>
                <w:szCs w:val="17"/>
              </w:rPr>
              <w:t xml:space="preserve">30 %</w:t>
            </w:r>
          </w:p>
        </w:tc>
        <w:tc>
          <w:tcPr>
            <w:tcW w:w="1500" w:type="dxa"/>
          </w:tcPr>
          <w:p>
            <w:pPr>
              <w:pStyle w:val="TableParagraph"/>
              <w:spacing w:before="20" w:after="20" w:line="220" w:lineRule="auto"/>
              <w:ind w:left="40"/>
              <w:jc w:val="left"/>
            </w:pPr>
            <w:r>
              <w:rPr>
                <w:i w:val="0"/>
                <w:iCs w:val="0"/>
                <w:sz w:val="17"/>
                <w:szCs w:val="17"/>
              </w:rPr>
              <w:t xml:space="preserve">5.913</w:t>
            </w:r>
          </w:p>
        </w:tc>
        <w:tc>
          <w:tcPr>
            <w:tcW w:w="1900" w:type="dxa"/>
          </w:tcPr>
          <w:p>
            <w:pPr>
              <w:pStyle w:val="TableParagraph"/>
              <w:spacing w:before="20" w:after="20" w:line="220" w:lineRule="auto"/>
              <w:ind w:left="40"/>
              <w:jc w:val="left"/>
            </w:pPr>
            <w:r>
              <w:rPr>
                <w:i w:val="0"/>
                <w:iCs w:val="0"/>
                <w:sz w:val="17"/>
                <w:szCs w:val="17"/>
              </w:rPr>
              <w:t xml:space="preserve">4.118</w:t>
            </w:r>
          </w:p>
        </w:tc>
        <w:tc>
          <w:tcPr>
            <w:tcW w:w="1200" w:type="dxa"/>
          </w:tcPr>
          <w:p>
            <w:pPr>
              <w:pStyle w:val="TableParagraph"/>
              <w:spacing w:before="20" w:after="20" w:line="220" w:lineRule="auto"/>
              <w:ind w:left="40"/>
              <w:jc w:val="left"/>
            </w:pPr>
            <w:r>
              <w:rPr>
                <w:i w:val="0"/>
                <w:iCs w:val="0"/>
                <w:sz w:val="17"/>
                <w:szCs w:val="17"/>
              </w:rPr>
              <w:t xml:space="preserve">49,0 %</w:t>
            </w:r>
          </w:p>
        </w:tc>
        <w:tc>
          <w:tcPr>
            <w:tcW w:w="1300" w:type="dxa"/>
          </w:tcPr>
          <w:p>
            <w:pPr>
              <w:pStyle w:val="TableParagraph"/>
              <w:spacing w:before="20" w:after="20" w:line="220" w:lineRule="auto"/>
              <w:ind w:left="40"/>
              <w:jc w:val="left"/>
            </w:pPr>
            <w:r>
              <w:rPr>
                <w:i w:val="0"/>
                <w:iCs w:val="0"/>
                <w:sz w:val="17"/>
                <w:szCs w:val="17"/>
              </w:rPr>
              <w:t xml:space="preserve">70 %</w:t>
            </w:r>
          </w:p>
        </w:tc>
        <w:tc>
          <w:tcPr>
            <w:tcW w:w="1400" w:type="dxa"/>
          </w:tcPr>
          <w:p>
            <w:pPr>
              <w:pStyle w:val="TableParagraph"/>
              <w:spacing w:before="20" w:after="20" w:line="220" w:lineRule="auto"/>
              <w:ind w:left="40"/>
              <w:jc w:val="left"/>
            </w:pPr>
            <w:r>
              <w:rPr>
                <w:i w:val="0"/>
                <w:iCs w:val="0"/>
                <w:sz w:val="17"/>
                <w:szCs w:val="17"/>
              </w:rPr>
              <w:t xml:space="preserve">1,6×</w:t>
            </w:r>
          </w:p>
        </w:tc>
      </w:tr>
      <w:tr>
        <w:trPr>
          <w:cantSplit/>
        </w:trPr>
        <w:tc>
          <w:tcPr>
            <w:tcW w:w="1300" w:type="dxa"/>
          </w:tcPr>
          <w:p>
            <w:pPr>
              <w:pStyle w:val="TableParagraph"/>
              <w:spacing w:before="20" w:after="20" w:line="220" w:lineRule="auto"/>
              <w:ind w:left="40"/>
              <w:jc w:val="left"/>
            </w:pPr>
            <w:r>
              <w:rPr>
                <w:i w:val="0"/>
                <w:iCs w:val="0"/>
                <w:sz w:val="17"/>
                <w:szCs w:val="17"/>
              </w:rPr>
              <w:t xml:space="preserve">50 %</w:t>
            </w:r>
          </w:p>
        </w:tc>
        <w:tc>
          <w:tcPr>
            <w:tcW w:w="1500" w:type="dxa"/>
          </w:tcPr>
          <w:p>
            <w:pPr>
              <w:pStyle w:val="TableParagraph"/>
              <w:spacing w:before="20" w:after="20" w:line="220" w:lineRule="auto"/>
              <w:ind w:left="40"/>
              <w:jc w:val="left"/>
            </w:pPr>
            <w:r>
              <w:rPr>
                <w:i w:val="0"/>
                <w:iCs w:val="0"/>
                <w:sz w:val="17"/>
                <w:szCs w:val="17"/>
              </w:rPr>
              <w:t xml:space="preserve">9.854</w:t>
            </w:r>
          </w:p>
        </w:tc>
        <w:tc>
          <w:tcPr>
            <w:tcW w:w="1900" w:type="dxa"/>
          </w:tcPr>
          <w:p>
            <w:pPr>
              <w:pStyle w:val="TableParagraph"/>
              <w:spacing w:before="20" w:after="20" w:line="220" w:lineRule="auto"/>
              <w:ind w:left="40"/>
              <w:jc w:val="left"/>
            </w:pPr>
            <w:r>
              <w:rPr>
                <w:i w:val="0"/>
                <w:iCs w:val="0"/>
                <w:sz w:val="17"/>
                <w:szCs w:val="17"/>
              </w:rPr>
              <w:t xml:space="preserve">5.826</w:t>
            </w:r>
          </w:p>
        </w:tc>
        <w:tc>
          <w:tcPr>
            <w:tcW w:w="1200" w:type="dxa"/>
          </w:tcPr>
          <w:p>
            <w:pPr>
              <w:pStyle w:val="TableParagraph"/>
              <w:spacing w:before="20" w:after="20" w:line="220" w:lineRule="auto"/>
              <w:ind w:left="40"/>
              <w:jc w:val="left"/>
            </w:pPr>
            <w:r>
              <w:rPr>
                <w:i w:val="0"/>
                <w:iCs w:val="0"/>
                <w:sz w:val="17"/>
                <w:szCs w:val="17"/>
              </w:rPr>
              <w:t xml:space="preserve">69,4 %</w:t>
            </w:r>
          </w:p>
        </w:tc>
        <w:tc>
          <w:tcPr>
            <w:tcW w:w="1300" w:type="dxa"/>
          </w:tcPr>
          <w:p>
            <w:pPr>
              <w:pStyle w:val="TableParagraph"/>
              <w:spacing w:before="20" w:after="20" w:line="220" w:lineRule="auto"/>
              <w:ind w:left="40"/>
              <w:jc w:val="left"/>
            </w:pPr>
            <w:r>
              <w:rPr>
                <w:i w:val="0"/>
                <w:iCs w:val="0"/>
                <w:sz w:val="17"/>
                <w:szCs w:val="17"/>
              </w:rPr>
              <w:t xml:space="preserve">59 %</w:t>
            </w:r>
          </w:p>
        </w:tc>
        <w:tc>
          <w:tcPr>
            <w:tcW w:w="1400" w:type="dxa"/>
          </w:tcPr>
          <w:p>
            <w:pPr>
              <w:pStyle w:val="TableParagraph"/>
              <w:spacing w:before="20" w:after="20" w:line="220" w:lineRule="auto"/>
              <w:ind w:left="40"/>
              <w:jc w:val="left"/>
            </w:pPr>
            <w:r>
              <w:rPr>
                <w:i w:val="0"/>
                <w:iCs w:val="0"/>
                <w:sz w:val="17"/>
                <w:szCs w:val="17"/>
              </w:rPr>
              <w:t xml:space="preserve">1,4×</w:t>
            </w:r>
          </w:p>
        </w:tc>
      </w:tr>
    </w:tbl>
    <w:p>
      <w:pPr>
        <w:pStyle w:val="BodyText"/>
        <w:spacing w:before="20" w:line="264" w:lineRule="auto"/>
        <w:ind w:left="170" w:right="120"/>
        <w:jc w:val="both"/>
      </w:pPr>
    </w:p>
    <w:p>
      <w:pPr>
        <w:keepNext/>
        <w:spacing w:before="120"/>
        <w:ind w:left="170"/>
        <w:jc w:val="center"/>
      </w:pPr>
      <w:r>
        <w:rPr>
          <w:noProof/>
        </w:rPr>
        <w:drawing>
          <wp:inline distT="0" distB="0" distL="0" distR="0">
            <wp:extent cx="4064000" cy="2755360"/>
            <wp:effectExtent l="0" t="0" r="0" b="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4"/>
                    <pic:cNvPicPr/>
                  </pic:nvPicPr>
                  <pic:blipFill>
                    <a:blip r:embed="rIdFig4"/>
                    <a:stretch>
                      <a:fillRect/>
                    </a:stretch>
                  </pic:blipFill>
                  <pic:spPr>
                    <a:xfrm>
                      <a:off x="0" y="0"/>
                      <a:ext cx="4064000" cy="2755360"/>
                    </a:xfrm>
                    <a:prstGeom prst="rect">
                      <a:avLst/>
                    </a:prstGeom>
                  </pic:spPr>
                </pic:pic>
              </a:graphicData>
            </a:graphic>
          </wp:inline>
        </w:drawing>
      </w:r>
    </w:p>
    <w:p>
      <w:pPr>
        <w:pStyle w:val="Caption"/>
        <w:spacing w:before="40" w:after="160"/>
        <w:ind w:left="170" w:right="120"/>
        <w:jc w:val="center"/>
      </w:pPr>
      <w:r>
        <w:rPr>
          <w:sz w:val="16"/>
          <w:szCs w:val="16"/>
        </w:rPr>
        <w:t xml:space="preserve">Figura 4. Curva de ganancia en test: porcentaje de churners reales alcanzados según el porcentaje de la población contactada.</w:t>
      </w:r>
    </w:p>
    <w:p>
      <w:pPr>
        <w:keepNext/>
        <w:spacing w:before="120"/>
        <w:ind w:left="170"/>
        <w:jc w:val="center"/>
      </w:pPr>
      <w:r>
        <w:rPr>
          <w:noProof/>
        </w:rPr>
        <w:drawing>
          <wp:inline distT="0" distB="0" distL="0" distR="0">
            <wp:extent cx="4064000" cy="2606852"/>
            <wp:effectExtent l="0" t="0" r="0" b="0"/>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5"/>
                    <pic:cNvPicPr/>
                  </pic:nvPicPr>
                  <pic:blipFill>
                    <a:blip r:embed="rIdFig5"/>
                    <a:stretch>
                      <a:fillRect/>
                    </a:stretch>
                  </pic:blipFill>
                  <pic:spPr>
                    <a:xfrm>
                      <a:off x="0" y="0"/>
                      <a:ext cx="4064000" cy="2606852"/>
                    </a:xfrm>
                    <a:prstGeom prst="rect">
                      <a:avLst/>
                    </a:prstGeom>
                  </pic:spPr>
                </pic:pic>
              </a:graphicData>
            </a:graphic>
          </wp:inline>
        </w:drawing>
      </w:r>
    </w:p>
    <w:p>
      <w:pPr>
        <w:pStyle w:val="Caption"/>
        <w:spacing w:before="40" w:after="160"/>
        <w:ind w:left="170" w:right="120"/>
        <w:jc w:val="center"/>
      </w:pPr>
      <w:r>
        <w:rPr>
          <w:sz w:val="16"/>
          <w:szCs w:val="16"/>
        </w:rPr>
        <w:t xml:space="preserve">Figura 5. Tasa de churn observada por decil de score. El decil 1 tiene 88 % de churn; el 10, 14 %.</w:t>
      </w:r>
    </w:p>
    <w:p>
      <w:pPr>
        <w:keepNext/>
        <w:spacing w:before="120"/>
        <w:ind w:left="170"/>
        <w:jc w:val="center"/>
      </w:pPr>
      <w:r>
        <w:rPr>
          <w:noProof/>
        </w:rPr>
        <w:drawing>
          <wp:inline distT="0" distB="0" distL="0" distR="0">
            <wp:extent cx="3175000" cy="2796384"/>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ig6"/>
                    <a:stretch>
                      <a:fillRect/>
                    </a:stretch>
                  </pic:blipFill>
                  <pic:spPr>
                    <a:xfrm>
                      <a:off x="0" y="0"/>
                      <a:ext cx="3175000" cy="2796384"/>
                    </a:xfrm>
                    <a:prstGeom prst="rect">
                      <a:avLst/>
                    </a:prstGeom>
                  </pic:spPr>
                </pic:pic>
              </a:graphicData>
            </a:graphic>
          </wp:inline>
        </w:drawing>
      </w:r>
    </w:p>
    <w:p>
      <w:pPr>
        <w:pStyle w:val="Caption"/>
        <w:spacing w:before="40" w:after="160"/>
        <w:ind w:left="170" w:right="120"/>
        <w:jc w:val="center"/>
      </w:pPr>
      <w:r>
        <w:rPr>
          <w:sz w:val="16"/>
          <w:szCs w:val="16"/>
        </w:rPr>
        <w:t xml:space="preserve">Figura 6. Probabilidad declarada vs tasa observada por decil. ECE = 0,010: cuando el modelo dice 70 %, siete de cada diez no vuelven.</w:t>
      </w:r>
    </w:p>
    <w:p>
      <w:pPr>
        <w:pStyle w:val="BodyText"/>
        <w:spacing w:before="90" w:line="264" w:lineRule="auto"/>
        <w:ind w:left="170" w:right="120"/>
        <w:jc w:val="both"/>
      </w:pPr>
      <w:r>
        <w:rPr>
          <w:b/>
          <w:bCs/>
          <w:i w:val="0"/>
          <w:iCs w:val="0"/>
          <w:sz w:val="20"/>
          <w:szCs w:val="20"/>
        </w:rPr>
        <w:t xml:space="preserve">Robustez y leakage (ablaciones sobre el mismo test).</w:t>
      </w:r>
      <w:r>
        <w:rPr>
          <w:i w:val="0"/>
          <w:iCs w:val="0"/>
          <w:sz w:val="20"/>
          <w:szCs w:val="20"/>
        </w:rPr>
        <w:t xml:space="preserve"> El modelo no depende de categóricas de alta cardinalidad ni de las features de ventas (que aportan población, no ranking); exigir seis meses de historia observable no cambia el resultado; incluir la conectividad "foto" empeora fuera de tiempo; usar KM como km del evento infla el ROC-AUC a 0,813 y rompe la calibración: un resultado que no se puede sostener en producción.</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3300"/>
        <w:gridCol w:w="1000"/>
        <w:gridCol w:w="1000"/>
        <w:gridCol w:w="900"/>
        <w:gridCol w:w="2400"/>
      </w:tblGrid>
      <w:tr>
        <w:trPr>
          <w:cantSplit/>
          <w:tblHeader/>
        </w:trPr>
        <w:tc>
          <w:tcPr>
            <w:tcW w:w="3300" w:type="dxa"/>
            <w:shd w:val="clear" w:color="auto" w:fill="EDEDED"/>
          </w:tcPr>
          <w:p>
            <w:pPr>
              <w:pStyle w:val="TableParagraph"/>
              <w:spacing w:before="20" w:after="20" w:line="220" w:lineRule="auto"/>
              <w:ind w:left="40"/>
              <w:jc w:val="left"/>
            </w:pPr>
            <w:r>
              <w:rPr>
                <w:b/>
                <w:bCs/>
                <w:i w:val="0"/>
                <w:iCs w:val="0"/>
                <w:sz w:val="17"/>
                <w:szCs w:val="17"/>
              </w:rPr>
              <w:t xml:space="preserve">Variante</w:t>
            </w:r>
          </w:p>
        </w:tc>
        <w:tc>
          <w:tcPr>
            <w:tcW w:w="1000" w:type="dxa"/>
            <w:shd w:val="clear" w:color="auto" w:fill="EDEDED"/>
          </w:tcPr>
          <w:p>
            <w:pPr>
              <w:pStyle w:val="TableParagraph"/>
              <w:spacing w:before="20" w:after="20" w:line="220" w:lineRule="auto"/>
              <w:ind w:left="40"/>
              <w:jc w:val="left"/>
            </w:pPr>
            <w:r>
              <w:rPr>
                <w:b/>
                <w:bCs/>
                <w:i w:val="0"/>
                <w:iCs w:val="0"/>
                <w:sz w:val="17"/>
                <w:szCs w:val="17"/>
              </w:rPr>
              <w:t xml:space="preserve">ROC-AUC</w:t>
            </w:r>
          </w:p>
        </w:tc>
        <w:tc>
          <w:tcPr>
            <w:tcW w:w="1000" w:type="dxa"/>
            <w:shd w:val="clear" w:color="auto" w:fill="EDEDED"/>
          </w:tcPr>
          <w:p>
            <w:pPr>
              <w:pStyle w:val="TableParagraph"/>
              <w:spacing w:before="20" w:after="20" w:line="220" w:lineRule="auto"/>
              <w:ind w:left="40"/>
              <w:jc w:val="left"/>
            </w:pPr>
            <w:r>
              <w:rPr>
                <w:b/>
                <w:bCs/>
                <w:i w:val="0"/>
                <w:iCs w:val="0"/>
                <w:sz w:val="17"/>
                <w:szCs w:val="17"/>
              </w:rPr>
              <w:t xml:space="preserve">PR-AUC</w:t>
            </w:r>
          </w:p>
        </w:tc>
        <w:tc>
          <w:tcPr>
            <w:tcW w:w="900" w:type="dxa"/>
            <w:shd w:val="clear" w:color="auto" w:fill="EDEDED"/>
          </w:tcPr>
          <w:p>
            <w:pPr>
              <w:pStyle w:val="TableParagraph"/>
              <w:spacing w:before="20" w:after="20" w:line="220" w:lineRule="auto"/>
              <w:ind w:left="40"/>
              <w:jc w:val="left"/>
            </w:pPr>
            <w:r>
              <w:rPr>
                <w:b/>
                <w:bCs/>
                <w:i w:val="0"/>
                <w:iCs w:val="0"/>
                <w:sz w:val="17"/>
                <w:szCs w:val="17"/>
              </w:rPr>
              <w:t xml:space="preserve">ECE</w:t>
            </w:r>
          </w:p>
        </w:tc>
        <w:tc>
          <w:tcPr>
            <w:tcW w:w="2400" w:type="dxa"/>
            <w:shd w:val="clear" w:color="auto" w:fill="EDEDED"/>
          </w:tcPr>
          <w:p>
            <w:pPr>
              <w:pStyle w:val="TableParagraph"/>
              <w:spacing w:before="20" w:after="20" w:line="220" w:lineRule="auto"/>
              <w:ind w:left="40"/>
              <w:jc w:val="left"/>
            </w:pPr>
            <w:r>
              <w:rPr>
                <w:b/>
                <w:bCs/>
                <w:i w:val="0"/>
                <w:iCs w:val="0"/>
                <w:sz w:val="17"/>
                <w:szCs w:val="17"/>
              </w:rPr>
              <w:t xml:space="preserve">Lectura</w:t>
            </w:r>
          </w:p>
        </w:tc>
      </w:tr>
      <w:tr>
        <w:trPr>
          <w:cantSplit/>
        </w:trPr>
        <w:tc>
          <w:tcPr>
            <w:tcW w:w="3300" w:type="dxa"/>
          </w:tcPr>
          <w:p>
            <w:pPr>
              <w:pStyle w:val="TableParagraph"/>
              <w:spacing w:before="20" w:after="20" w:line="220" w:lineRule="auto"/>
              <w:ind w:left="40"/>
              <w:jc w:val="left"/>
            </w:pPr>
            <w:r>
              <w:rPr>
                <w:i w:val="0"/>
                <w:iCs w:val="0"/>
                <w:sz w:val="17"/>
                <w:szCs w:val="17"/>
              </w:rPr>
              <w:t xml:space="preserve">Modelo base</w:t>
            </w:r>
          </w:p>
        </w:tc>
        <w:tc>
          <w:tcPr>
            <w:tcW w:w="1000" w:type="dxa"/>
          </w:tcPr>
          <w:p>
            <w:pPr>
              <w:pStyle w:val="TableParagraph"/>
              <w:spacing w:before="20" w:after="20" w:line="220" w:lineRule="auto"/>
              <w:ind w:left="40"/>
              <w:jc w:val="left"/>
            </w:pPr>
            <w:r>
              <w:rPr>
                <w:i w:val="0"/>
                <w:iCs w:val="0"/>
                <w:sz w:val="17"/>
                <w:szCs w:val="17"/>
              </w:rPr>
              <w:t xml:space="preserve">0,740</w:t>
            </w:r>
          </w:p>
        </w:tc>
        <w:tc>
          <w:tcPr>
            <w:tcW w:w="1000" w:type="dxa"/>
          </w:tcPr>
          <w:p>
            <w:pPr>
              <w:pStyle w:val="TableParagraph"/>
              <w:spacing w:before="20" w:after="20" w:line="220" w:lineRule="auto"/>
              <w:ind w:left="40"/>
              <w:jc w:val="left"/>
            </w:pPr>
            <w:r>
              <w:rPr>
                <w:i w:val="0"/>
                <w:iCs w:val="0"/>
                <w:sz w:val="17"/>
                <w:szCs w:val="17"/>
              </w:rPr>
              <w:t xml:space="preserve">0,704</w:t>
            </w:r>
          </w:p>
        </w:tc>
        <w:tc>
          <w:tcPr>
            <w:tcW w:w="900" w:type="dxa"/>
          </w:tcPr>
          <w:p>
            <w:pPr>
              <w:pStyle w:val="TableParagraph"/>
              <w:spacing w:before="20" w:after="20" w:line="220" w:lineRule="auto"/>
              <w:ind w:left="40"/>
              <w:jc w:val="left"/>
            </w:pPr>
            <w:r>
              <w:rPr>
                <w:i w:val="0"/>
                <w:iCs w:val="0"/>
                <w:sz w:val="17"/>
                <w:szCs w:val="17"/>
              </w:rPr>
              <w:t xml:space="preserve">0,010</w:t>
            </w:r>
          </w:p>
        </w:tc>
        <w:tc>
          <w:tcPr>
            <w:tcW w:w="2400" w:type="dxa"/>
          </w:tcPr>
          <w:p>
            <w:pPr>
              <w:pStyle w:val="TableParagraph"/>
              <w:spacing w:before="20" w:after="20" w:line="220" w:lineRule="auto"/>
              <w:ind w:left="40"/>
              <w:jc w:val="left"/>
            </w:pPr>
            <w:r>
              <w:rPr>
                <w:i w:val="0"/>
                <w:iCs w:val="0"/>
                <w:sz w:val="17"/>
                <w:szCs w:val="17"/>
              </w:rPr>
              <w:t xml:space="preserve">—</w:t>
            </w:r>
          </w:p>
        </w:tc>
      </w:tr>
      <w:tr>
        <w:trPr>
          <w:cantSplit/>
        </w:trPr>
        <w:tc>
          <w:tcPr>
            <w:tcW w:w="3300" w:type="dxa"/>
          </w:tcPr>
          <w:p>
            <w:pPr>
              <w:pStyle w:val="TableParagraph"/>
              <w:spacing w:before="20" w:after="20" w:line="220" w:lineRule="auto"/>
              <w:ind w:left="40"/>
              <w:jc w:val="left"/>
            </w:pPr>
            <w:r>
              <w:rPr>
                <w:i w:val="0"/>
                <w:iCs w:val="0"/>
                <w:sz w:val="17"/>
                <w:szCs w:val="17"/>
              </w:rPr>
              <w:t xml:space="preserve">Sin concesionario, versión ni provincia</w:t>
            </w:r>
          </w:p>
        </w:tc>
        <w:tc>
          <w:tcPr>
            <w:tcW w:w="1000" w:type="dxa"/>
          </w:tcPr>
          <w:p>
            <w:pPr>
              <w:pStyle w:val="TableParagraph"/>
              <w:spacing w:before="20" w:after="20" w:line="220" w:lineRule="auto"/>
              <w:ind w:left="40"/>
              <w:jc w:val="left"/>
            </w:pPr>
            <w:r>
              <w:rPr>
                <w:i w:val="0"/>
                <w:iCs w:val="0"/>
                <w:sz w:val="17"/>
                <w:szCs w:val="17"/>
              </w:rPr>
              <w:t xml:space="preserve">0,738</w:t>
            </w:r>
          </w:p>
        </w:tc>
        <w:tc>
          <w:tcPr>
            <w:tcW w:w="1000" w:type="dxa"/>
          </w:tcPr>
          <w:p>
            <w:pPr>
              <w:pStyle w:val="TableParagraph"/>
              <w:spacing w:before="20" w:after="20" w:line="220" w:lineRule="auto"/>
              <w:ind w:left="40"/>
              <w:jc w:val="left"/>
            </w:pPr>
            <w:r>
              <w:rPr>
                <w:i w:val="0"/>
                <w:iCs w:val="0"/>
                <w:sz w:val="17"/>
                <w:szCs w:val="17"/>
              </w:rPr>
              <w:t xml:space="preserve">0,700</w:t>
            </w:r>
          </w:p>
        </w:tc>
        <w:tc>
          <w:tcPr>
            <w:tcW w:w="900" w:type="dxa"/>
          </w:tcPr>
          <w:p>
            <w:pPr>
              <w:pStyle w:val="TableParagraph"/>
              <w:spacing w:before="20" w:after="20" w:line="220" w:lineRule="auto"/>
              <w:ind w:left="40"/>
              <w:jc w:val="left"/>
            </w:pPr>
            <w:r>
              <w:rPr>
                <w:i w:val="0"/>
                <w:iCs w:val="0"/>
                <w:sz w:val="17"/>
                <w:szCs w:val="17"/>
              </w:rPr>
              <w:t xml:space="preserve">0,017</w:t>
            </w:r>
          </w:p>
        </w:tc>
        <w:tc>
          <w:tcPr>
            <w:tcW w:w="2400" w:type="dxa"/>
          </w:tcPr>
          <w:p>
            <w:pPr>
              <w:pStyle w:val="TableParagraph"/>
              <w:spacing w:before="20" w:after="20" w:line="220" w:lineRule="auto"/>
              <w:ind w:left="40"/>
              <w:jc w:val="left"/>
            </w:pPr>
            <w:r>
              <w:rPr>
                <w:i w:val="0"/>
                <w:iCs w:val="0"/>
                <w:sz w:val="17"/>
                <w:szCs w:val="17"/>
              </w:rPr>
              <w:t xml:space="preserve">No depende de categóricas de alta cardinalidad</w:t>
            </w:r>
          </w:p>
        </w:tc>
      </w:tr>
      <w:tr>
        <w:trPr>
          <w:cantSplit/>
        </w:trPr>
        <w:tc>
          <w:tcPr>
            <w:tcW w:w="3300" w:type="dxa"/>
          </w:tcPr>
          <w:p>
            <w:pPr>
              <w:pStyle w:val="TableParagraph"/>
              <w:spacing w:before="20" w:after="20" w:line="220" w:lineRule="auto"/>
              <w:ind w:left="40"/>
              <w:jc w:val="left"/>
            </w:pPr>
            <w:r>
              <w:rPr>
                <w:i w:val="0"/>
                <w:iCs w:val="0"/>
                <w:sz w:val="17"/>
                <w:szCs w:val="17"/>
              </w:rPr>
              <w:t xml:space="preserve">Sólo agenda (sin features de ventas)</w:t>
            </w:r>
          </w:p>
        </w:tc>
        <w:tc>
          <w:tcPr>
            <w:tcW w:w="1000" w:type="dxa"/>
          </w:tcPr>
          <w:p>
            <w:pPr>
              <w:pStyle w:val="TableParagraph"/>
              <w:spacing w:before="20" w:after="20" w:line="220" w:lineRule="auto"/>
              <w:ind w:left="40"/>
              <w:jc w:val="left"/>
            </w:pPr>
            <w:r>
              <w:rPr>
                <w:i w:val="0"/>
                <w:iCs w:val="0"/>
                <w:sz w:val="17"/>
                <w:szCs w:val="17"/>
              </w:rPr>
              <w:t xml:space="preserve">0,739</w:t>
            </w:r>
          </w:p>
        </w:tc>
        <w:tc>
          <w:tcPr>
            <w:tcW w:w="1000" w:type="dxa"/>
          </w:tcPr>
          <w:p>
            <w:pPr>
              <w:pStyle w:val="TableParagraph"/>
              <w:spacing w:before="20" w:after="20" w:line="220" w:lineRule="auto"/>
              <w:ind w:left="40"/>
              <w:jc w:val="left"/>
            </w:pPr>
            <w:r>
              <w:rPr>
                <w:i w:val="0"/>
                <w:iCs w:val="0"/>
                <w:sz w:val="17"/>
                <w:szCs w:val="17"/>
              </w:rPr>
              <w:t xml:space="preserve">0,700</w:t>
            </w:r>
          </w:p>
        </w:tc>
        <w:tc>
          <w:tcPr>
            <w:tcW w:w="900" w:type="dxa"/>
          </w:tcPr>
          <w:p>
            <w:pPr>
              <w:pStyle w:val="TableParagraph"/>
              <w:spacing w:before="20" w:after="20" w:line="220" w:lineRule="auto"/>
              <w:ind w:left="40"/>
              <w:jc w:val="left"/>
            </w:pPr>
            <w:r>
              <w:rPr>
                <w:i w:val="0"/>
                <w:iCs w:val="0"/>
                <w:sz w:val="17"/>
                <w:szCs w:val="17"/>
              </w:rPr>
              <w:t xml:space="preserve">0,011</w:t>
            </w:r>
          </w:p>
        </w:tc>
        <w:tc>
          <w:tcPr>
            <w:tcW w:w="2400" w:type="dxa"/>
          </w:tcPr>
          <w:p>
            <w:pPr>
              <w:pStyle w:val="TableParagraph"/>
              <w:spacing w:before="20" w:after="20" w:line="220" w:lineRule="auto"/>
              <w:ind w:left="40"/>
              <w:jc w:val="left"/>
            </w:pPr>
            <w:r>
              <w:rPr>
                <w:i w:val="0"/>
                <w:iCs w:val="0"/>
                <w:sz w:val="17"/>
                <w:szCs w:val="17"/>
              </w:rPr>
              <w:t xml:space="preserve">Ventas aporta población, no ranking</w:t>
            </w:r>
          </w:p>
        </w:tc>
      </w:tr>
      <w:tr>
        <w:trPr>
          <w:cantSplit/>
        </w:trPr>
        <w:tc>
          <w:tcPr>
            <w:tcW w:w="3300" w:type="dxa"/>
          </w:tcPr>
          <w:p>
            <w:pPr>
              <w:pStyle w:val="TableParagraph"/>
              <w:spacing w:before="20" w:after="20" w:line="220" w:lineRule="auto"/>
              <w:ind w:left="40"/>
              <w:jc w:val="left"/>
            </w:pPr>
            <w:r>
              <w:rPr>
                <w:i w:val="0"/>
                <w:iCs w:val="0"/>
                <w:sz w:val="17"/>
                <w:szCs w:val="17"/>
              </w:rPr>
              <w:t xml:space="preserve">Exige ≥ 6 meses de historia observable</w:t>
            </w:r>
          </w:p>
        </w:tc>
        <w:tc>
          <w:tcPr>
            <w:tcW w:w="1000" w:type="dxa"/>
          </w:tcPr>
          <w:p>
            <w:pPr>
              <w:pStyle w:val="TableParagraph"/>
              <w:spacing w:before="20" w:after="20" w:line="220" w:lineRule="auto"/>
              <w:ind w:left="40"/>
              <w:jc w:val="left"/>
            </w:pPr>
            <w:r>
              <w:rPr>
                <w:i w:val="0"/>
                <w:iCs w:val="0"/>
                <w:sz w:val="17"/>
                <w:szCs w:val="17"/>
              </w:rPr>
              <w:t xml:space="preserve">0,738</w:t>
            </w:r>
          </w:p>
        </w:tc>
        <w:tc>
          <w:tcPr>
            <w:tcW w:w="1000" w:type="dxa"/>
          </w:tcPr>
          <w:p>
            <w:pPr>
              <w:pStyle w:val="TableParagraph"/>
              <w:spacing w:before="20" w:after="20" w:line="220" w:lineRule="auto"/>
              <w:ind w:left="40"/>
              <w:jc w:val="left"/>
            </w:pPr>
            <w:r>
              <w:rPr>
                <w:i w:val="0"/>
                <w:iCs w:val="0"/>
                <w:sz w:val="17"/>
                <w:szCs w:val="17"/>
              </w:rPr>
              <w:t xml:space="preserve">0,702</w:t>
            </w:r>
          </w:p>
        </w:tc>
        <w:tc>
          <w:tcPr>
            <w:tcW w:w="900" w:type="dxa"/>
          </w:tcPr>
          <w:p>
            <w:pPr>
              <w:pStyle w:val="TableParagraph"/>
              <w:spacing w:before="20" w:after="20" w:line="220" w:lineRule="auto"/>
              <w:ind w:left="40"/>
              <w:jc w:val="left"/>
            </w:pPr>
            <w:r>
              <w:rPr>
                <w:i w:val="0"/>
                <w:iCs w:val="0"/>
                <w:sz w:val="17"/>
                <w:szCs w:val="17"/>
              </w:rPr>
              <w:t xml:space="preserve">0,013</w:t>
            </w:r>
          </w:p>
        </w:tc>
        <w:tc>
          <w:tcPr>
            <w:tcW w:w="2400" w:type="dxa"/>
          </w:tcPr>
          <w:p>
            <w:pPr>
              <w:pStyle w:val="TableParagraph"/>
              <w:spacing w:before="20" w:after="20" w:line="220" w:lineRule="auto"/>
              <w:ind w:left="40"/>
              <w:jc w:val="left"/>
            </w:pPr>
            <w:r>
              <w:rPr>
                <w:i w:val="0"/>
                <w:iCs w:val="0"/>
                <w:sz w:val="17"/>
                <w:szCs w:val="17"/>
              </w:rPr>
              <w:t xml:space="preserve">La censura a la izquierda no distorsiona</w:t>
            </w:r>
          </w:p>
        </w:tc>
      </w:tr>
      <w:tr>
        <w:trPr>
          <w:cantSplit/>
        </w:trPr>
        <w:tc>
          <w:tcPr>
            <w:tcW w:w="3300" w:type="dxa"/>
          </w:tcPr>
          <w:p>
            <w:pPr>
              <w:pStyle w:val="TableParagraph"/>
              <w:spacing w:before="20" w:after="20" w:line="220" w:lineRule="auto"/>
              <w:ind w:left="40"/>
              <w:jc w:val="left"/>
            </w:pPr>
            <w:r>
              <w:rPr>
                <w:i w:val="0"/>
                <w:iCs w:val="0"/>
                <w:sz w:val="17"/>
                <w:szCs w:val="17"/>
              </w:rPr>
              <w:t xml:space="preserve">Sin encuestas</w:t>
            </w:r>
          </w:p>
        </w:tc>
        <w:tc>
          <w:tcPr>
            <w:tcW w:w="1000" w:type="dxa"/>
          </w:tcPr>
          <w:p>
            <w:pPr>
              <w:pStyle w:val="TableParagraph"/>
              <w:spacing w:before="20" w:after="20" w:line="220" w:lineRule="auto"/>
              <w:ind w:left="40"/>
              <w:jc w:val="left"/>
            </w:pPr>
            <w:r>
              <w:rPr>
                <w:i w:val="0"/>
                <w:iCs w:val="0"/>
                <w:sz w:val="17"/>
                <w:szCs w:val="17"/>
              </w:rPr>
              <w:t xml:space="preserve">0,735</w:t>
            </w:r>
          </w:p>
        </w:tc>
        <w:tc>
          <w:tcPr>
            <w:tcW w:w="1000" w:type="dxa"/>
          </w:tcPr>
          <w:p>
            <w:pPr>
              <w:pStyle w:val="TableParagraph"/>
              <w:spacing w:before="20" w:after="20" w:line="220" w:lineRule="auto"/>
              <w:ind w:left="40"/>
              <w:jc w:val="left"/>
            </w:pPr>
            <w:r>
              <w:rPr>
                <w:i w:val="0"/>
                <w:iCs w:val="0"/>
                <w:sz w:val="17"/>
                <w:szCs w:val="17"/>
              </w:rPr>
              <w:t xml:space="preserve">0,698</w:t>
            </w:r>
          </w:p>
        </w:tc>
        <w:tc>
          <w:tcPr>
            <w:tcW w:w="900" w:type="dxa"/>
          </w:tcPr>
          <w:p>
            <w:pPr>
              <w:pStyle w:val="TableParagraph"/>
              <w:spacing w:before="20" w:after="20" w:line="220" w:lineRule="auto"/>
              <w:ind w:left="40"/>
              <w:jc w:val="left"/>
            </w:pPr>
            <w:r>
              <w:rPr>
                <w:i w:val="0"/>
                <w:iCs w:val="0"/>
                <w:sz w:val="17"/>
                <w:szCs w:val="17"/>
              </w:rPr>
              <w:t xml:space="preserve">0,013</w:t>
            </w:r>
          </w:p>
        </w:tc>
        <w:tc>
          <w:tcPr>
            <w:tcW w:w="2400" w:type="dxa"/>
          </w:tcPr>
          <w:p>
            <w:pPr>
              <w:pStyle w:val="TableParagraph"/>
              <w:spacing w:before="20" w:after="20" w:line="220" w:lineRule="auto"/>
              <w:ind w:left="40"/>
              <w:jc w:val="left"/>
            </w:pPr>
            <w:r>
              <w:rPr>
                <w:i w:val="0"/>
                <w:iCs w:val="0"/>
                <w:sz w:val="17"/>
                <w:szCs w:val="17"/>
              </w:rPr>
              <w:t xml:space="preserve">La encuesta no aporta</w:t>
            </w:r>
          </w:p>
        </w:tc>
      </w:tr>
      <w:tr>
        <w:trPr>
          <w:cantSplit/>
        </w:trPr>
        <w:tc>
          <w:tcPr>
            <w:tcW w:w="3300" w:type="dxa"/>
          </w:tcPr>
          <w:p>
            <w:pPr>
              <w:pStyle w:val="TableParagraph"/>
              <w:spacing w:before="20" w:after="20" w:line="220" w:lineRule="auto"/>
              <w:ind w:left="40"/>
              <w:jc w:val="left"/>
            </w:pPr>
            <w:r>
              <w:rPr>
                <w:i w:val="0"/>
                <w:iCs w:val="0"/>
                <w:sz w:val="17"/>
                <w:szCs w:val="17"/>
              </w:rPr>
              <w:t xml:space="preserve">Con ConnectedStatusARG (foto)</w:t>
            </w:r>
          </w:p>
        </w:tc>
        <w:tc>
          <w:tcPr>
            <w:tcW w:w="1000" w:type="dxa"/>
          </w:tcPr>
          <w:p>
            <w:pPr>
              <w:pStyle w:val="TableParagraph"/>
              <w:spacing w:before="20" w:after="20" w:line="220" w:lineRule="auto"/>
              <w:ind w:left="40"/>
              <w:jc w:val="left"/>
            </w:pPr>
            <w:r>
              <w:rPr>
                <w:i w:val="0"/>
                <w:iCs w:val="0"/>
                <w:sz w:val="17"/>
                <w:szCs w:val="17"/>
              </w:rPr>
              <w:t xml:space="preserve">0,730</w:t>
            </w:r>
          </w:p>
        </w:tc>
        <w:tc>
          <w:tcPr>
            <w:tcW w:w="1000" w:type="dxa"/>
          </w:tcPr>
          <w:p>
            <w:pPr>
              <w:pStyle w:val="TableParagraph"/>
              <w:spacing w:before="20" w:after="20" w:line="220" w:lineRule="auto"/>
              <w:ind w:left="40"/>
              <w:jc w:val="left"/>
            </w:pPr>
            <w:r>
              <w:rPr>
                <w:i w:val="0"/>
                <w:iCs w:val="0"/>
                <w:sz w:val="17"/>
                <w:szCs w:val="17"/>
              </w:rPr>
              <w:t xml:space="preserve">0,689</w:t>
            </w:r>
          </w:p>
        </w:tc>
        <w:tc>
          <w:tcPr>
            <w:tcW w:w="900" w:type="dxa"/>
          </w:tcPr>
          <w:p>
            <w:pPr>
              <w:pStyle w:val="TableParagraph"/>
              <w:spacing w:before="20" w:after="20" w:line="220" w:lineRule="auto"/>
              <w:ind w:left="40"/>
              <w:jc w:val="left"/>
            </w:pPr>
            <w:r>
              <w:rPr>
                <w:i w:val="0"/>
                <w:iCs w:val="0"/>
                <w:sz w:val="17"/>
                <w:szCs w:val="17"/>
              </w:rPr>
              <w:t xml:space="preserve">0,029</w:t>
            </w:r>
          </w:p>
        </w:tc>
        <w:tc>
          <w:tcPr>
            <w:tcW w:w="2400" w:type="dxa"/>
          </w:tcPr>
          <w:p>
            <w:pPr>
              <w:pStyle w:val="TableParagraph"/>
              <w:spacing w:before="20" w:after="20" w:line="220" w:lineRule="auto"/>
              <w:ind w:left="40"/>
              <w:jc w:val="left"/>
            </w:pPr>
            <w:r>
              <w:rPr>
                <w:i w:val="0"/>
                <w:iCs w:val="0"/>
                <w:sz w:val="17"/>
                <w:szCs w:val="17"/>
              </w:rPr>
              <w:t xml:space="preserve">Un leakage suave empeora fuera de tiempo</w:t>
            </w:r>
          </w:p>
        </w:tc>
      </w:tr>
      <w:tr>
        <w:trPr>
          <w:cantSplit/>
        </w:trPr>
        <w:tc>
          <w:tcPr>
            <w:tcW w:w="3300" w:type="dxa"/>
          </w:tcPr>
          <w:p>
            <w:pPr>
              <w:pStyle w:val="TableParagraph"/>
              <w:spacing w:before="20" w:after="20" w:line="220" w:lineRule="auto"/>
              <w:ind w:left="40"/>
              <w:jc w:val="left"/>
            </w:pPr>
            <w:r>
              <w:rPr>
                <w:i w:val="0"/>
                <w:iCs w:val="0"/>
                <w:sz w:val="17"/>
                <w:szCs w:val="17"/>
              </w:rPr>
              <w:t xml:space="preserve">Con KM (foto) como km del evento</w:t>
            </w:r>
          </w:p>
        </w:tc>
        <w:tc>
          <w:tcPr>
            <w:tcW w:w="1000" w:type="dxa"/>
          </w:tcPr>
          <w:p>
            <w:pPr>
              <w:pStyle w:val="TableParagraph"/>
              <w:spacing w:before="20" w:after="20" w:line="220" w:lineRule="auto"/>
              <w:ind w:left="40"/>
              <w:jc w:val="left"/>
            </w:pPr>
            <w:r>
              <w:rPr>
                <w:i w:val="0"/>
                <w:iCs w:val="0"/>
                <w:sz w:val="17"/>
                <w:szCs w:val="17"/>
              </w:rPr>
              <w:t xml:space="preserve">0,813</w:t>
            </w:r>
          </w:p>
        </w:tc>
        <w:tc>
          <w:tcPr>
            <w:tcW w:w="1000" w:type="dxa"/>
          </w:tcPr>
          <w:p>
            <w:pPr>
              <w:pStyle w:val="TableParagraph"/>
              <w:spacing w:before="20" w:after="20" w:line="220" w:lineRule="auto"/>
              <w:ind w:left="40"/>
              <w:jc w:val="left"/>
            </w:pPr>
            <w:r>
              <w:rPr>
                <w:i w:val="0"/>
                <w:iCs w:val="0"/>
                <w:sz w:val="17"/>
                <w:szCs w:val="17"/>
              </w:rPr>
              <w:t xml:space="preserve">0,802</w:t>
            </w:r>
          </w:p>
        </w:tc>
        <w:tc>
          <w:tcPr>
            <w:tcW w:w="900" w:type="dxa"/>
          </w:tcPr>
          <w:p>
            <w:pPr>
              <w:pStyle w:val="TableParagraph"/>
              <w:spacing w:before="20" w:after="20" w:line="220" w:lineRule="auto"/>
              <w:ind w:left="40"/>
              <w:jc w:val="left"/>
            </w:pPr>
            <w:r>
              <w:rPr>
                <w:i w:val="0"/>
                <w:iCs w:val="0"/>
                <w:sz w:val="17"/>
                <w:szCs w:val="17"/>
              </w:rPr>
              <w:t xml:space="preserve">0,056</w:t>
            </w:r>
          </w:p>
        </w:tc>
        <w:tc>
          <w:tcPr>
            <w:tcW w:w="2400" w:type="dxa"/>
          </w:tcPr>
          <w:p>
            <w:pPr>
              <w:pStyle w:val="TableParagraph"/>
              <w:spacing w:before="20" w:after="20" w:line="220" w:lineRule="auto"/>
              <w:ind w:left="40"/>
              <w:jc w:val="left"/>
            </w:pPr>
            <w:r>
              <w:rPr>
                <w:i w:val="0"/>
                <w:iCs w:val="0"/>
                <w:sz w:val="17"/>
                <w:szCs w:val="17"/>
              </w:rPr>
              <w:t xml:space="preserve">Rendimiento inflado con información futura</w:t>
            </w:r>
          </w:p>
        </w:tc>
      </w:tr>
      <w:tr>
        <w:trPr>
          <w:cantSplit/>
        </w:trPr>
        <w:tc>
          <w:tcPr>
            <w:tcW w:w="3300" w:type="dxa"/>
          </w:tcPr>
          <w:p>
            <w:pPr>
              <w:pStyle w:val="TableParagraph"/>
              <w:spacing w:before="20" w:after="20" w:line="220" w:lineRule="auto"/>
              <w:ind w:left="40"/>
              <w:jc w:val="left"/>
            </w:pPr>
            <w:r>
              <w:rPr>
                <w:i w:val="0"/>
                <w:iCs w:val="0"/>
                <w:sz w:val="17"/>
                <w:szCs w:val="17"/>
              </w:rPr>
              <w:t xml:space="preserve">Sólo primer service (n = 3.562)</w:t>
            </w:r>
          </w:p>
        </w:tc>
        <w:tc>
          <w:tcPr>
            <w:tcW w:w="1000" w:type="dxa"/>
          </w:tcPr>
          <w:p>
            <w:pPr>
              <w:pStyle w:val="TableParagraph"/>
              <w:spacing w:before="20" w:after="20" w:line="220" w:lineRule="auto"/>
              <w:ind w:left="40"/>
              <w:jc w:val="left"/>
            </w:pPr>
            <w:r>
              <w:rPr>
                <w:i w:val="0"/>
                <w:iCs w:val="0"/>
                <w:sz w:val="17"/>
                <w:szCs w:val="17"/>
              </w:rPr>
              <w:t xml:space="preserve">0,805</w:t>
            </w:r>
          </w:p>
        </w:tc>
        <w:tc>
          <w:tcPr>
            <w:tcW w:w="1000" w:type="dxa"/>
          </w:tcPr>
          <w:p>
            <w:pPr>
              <w:pStyle w:val="TableParagraph"/>
              <w:spacing w:before="20" w:after="20" w:line="220" w:lineRule="auto"/>
              <w:ind w:left="40"/>
              <w:jc w:val="left"/>
            </w:pPr>
            <w:r>
              <w:rPr>
                <w:i w:val="0"/>
                <w:iCs w:val="0"/>
                <w:sz w:val="17"/>
                <w:szCs w:val="17"/>
              </w:rPr>
              <w:t xml:space="preserve">0,835</w:t>
            </w:r>
          </w:p>
        </w:tc>
        <w:tc>
          <w:tcPr>
            <w:tcW w:w="900" w:type="dxa"/>
          </w:tcPr>
          <w:p>
            <w:pPr>
              <w:pStyle w:val="TableParagraph"/>
              <w:spacing w:before="20" w:after="20" w:line="220" w:lineRule="auto"/>
              <w:ind w:left="40"/>
              <w:jc w:val="left"/>
            </w:pPr>
            <w:r>
              <w:rPr>
                <w:i w:val="0"/>
                <w:iCs w:val="0"/>
                <w:sz w:val="17"/>
                <w:szCs w:val="17"/>
              </w:rPr>
              <w:t xml:space="preserve">0,025</w:t>
            </w:r>
          </w:p>
        </w:tc>
        <w:tc>
          <w:tcPr>
            <w:tcW w:w="2400" w:type="dxa"/>
          </w:tcPr>
          <w:p>
            <w:pPr>
              <w:pStyle w:val="TableParagraph"/>
              <w:spacing w:before="20" w:after="20" w:line="220" w:lineRule="auto"/>
              <w:ind w:left="40"/>
              <w:jc w:val="left"/>
            </w:pPr>
            <w:r>
              <w:rPr>
                <w:i w:val="0"/>
                <w:iCs w:val="0"/>
                <w:sz w:val="17"/>
                <w:szCs w:val="17"/>
              </w:rPr>
              <w:t xml:space="preserve">El primer service es más predecible</w:t>
            </w:r>
          </w:p>
        </w:tc>
      </w:tr>
      <w:tr>
        <w:trPr>
          <w:cantSplit/>
        </w:trPr>
        <w:tc>
          <w:tcPr>
            <w:tcW w:w="3300" w:type="dxa"/>
          </w:tcPr>
          <w:p>
            <w:pPr>
              <w:pStyle w:val="TableParagraph"/>
              <w:spacing w:before="20" w:after="20" w:line="220" w:lineRule="auto"/>
              <w:ind w:left="40"/>
              <w:jc w:val="left"/>
            </w:pPr>
            <w:r>
              <w:rPr>
                <w:i w:val="0"/>
                <w:iCs w:val="0"/>
                <w:sz w:val="17"/>
                <w:szCs w:val="17"/>
              </w:rPr>
              <w:t xml:space="preserve">Sólo services siguientes (n = 16.147)</w:t>
            </w:r>
          </w:p>
        </w:tc>
        <w:tc>
          <w:tcPr>
            <w:tcW w:w="1000" w:type="dxa"/>
          </w:tcPr>
          <w:p>
            <w:pPr>
              <w:pStyle w:val="TableParagraph"/>
              <w:spacing w:before="20" w:after="20" w:line="220" w:lineRule="auto"/>
              <w:ind w:left="40"/>
              <w:jc w:val="left"/>
            </w:pPr>
            <w:r>
              <w:rPr>
                <w:i w:val="0"/>
                <w:iCs w:val="0"/>
                <w:sz w:val="17"/>
                <w:szCs w:val="17"/>
              </w:rPr>
              <w:t xml:space="preserve">0,721</w:t>
            </w:r>
          </w:p>
        </w:tc>
        <w:tc>
          <w:tcPr>
            <w:tcW w:w="1000" w:type="dxa"/>
          </w:tcPr>
          <w:p>
            <w:pPr>
              <w:pStyle w:val="TableParagraph"/>
              <w:spacing w:before="20" w:after="20" w:line="220" w:lineRule="auto"/>
              <w:ind w:left="40"/>
              <w:jc w:val="left"/>
            </w:pPr>
            <w:r>
              <w:rPr>
                <w:i w:val="0"/>
                <w:iCs w:val="0"/>
                <w:sz w:val="17"/>
                <w:szCs w:val="17"/>
              </w:rPr>
              <w:t xml:space="preserve">0,636</w:t>
            </w:r>
          </w:p>
        </w:tc>
        <w:tc>
          <w:tcPr>
            <w:tcW w:w="900" w:type="dxa"/>
          </w:tcPr>
          <w:p>
            <w:pPr>
              <w:pStyle w:val="TableParagraph"/>
              <w:spacing w:before="20" w:after="20" w:line="220" w:lineRule="auto"/>
              <w:ind w:left="40"/>
              <w:jc w:val="left"/>
            </w:pPr>
            <w:r>
              <w:rPr>
                <w:i w:val="0"/>
                <w:iCs w:val="0"/>
                <w:sz w:val="17"/>
                <w:szCs w:val="17"/>
              </w:rPr>
              <w:t xml:space="preserve">0,013</w:t>
            </w:r>
          </w:p>
        </w:tc>
        <w:tc>
          <w:tcPr>
            <w:tcW w:w="2400" w:type="dxa"/>
          </w:tcPr>
          <w:p>
            <w:pPr>
              <w:pStyle w:val="TableParagraph"/>
              <w:spacing w:before="20" w:after="20" w:line="220" w:lineRule="auto"/>
              <w:ind w:left="40"/>
              <w:jc w:val="left"/>
            </w:pPr>
            <w:r>
              <w:rPr>
                <w:i w:val="0"/>
                <w:iCs w:val="0"/>
                <w:sz w:val="17"/>
                <w:szCs w:val="17"/>
              </w:rPr>
              <w:t xml:space="preserve">—</w:t>
            </w:r>
          </w:p>
        </w:tc>
      </w:tr>
    </w:tbl>
    <w:p>
      <w:pPr>
        <w:pStyle w:val="BodyText"/>
        <w:spacing w:before="20" w:line="264" w:lineRule="auto"/>
        <w:ind w:left="170" w:right="120"/>
        <w:jc w:val="both"/>
      </w:pPr>
    </w:p>
    <w:p>
      <w:pPr>
        <w:pStyle w:val="Heading3"/>
        <w:numPr>
          <w:ilvl w:val="2"/>
          <w:numId w:val="2"/>
        </w:numPr>
        <w:tabs>
          <w:tab w:val="left" w:pos="840"/>
        </w:tabs>
        <w:spacing w:before="240"/>
        <w:ind w:left="840" w:hanging="670"/>
      </w:pPr>
      <w:r>
        <w:t xml:space="preserve">Qué explica el riesgo</w:t>
      </w:r>
    </w:p>
    <w:p>
      <w:pPr>
        <w:pStyle w:val="BodyText"/>
        <w:spacing w:before="90" w:line="264" w:lineRule="auto"/>
        <w:ind w:left="170" w:right="120"/>
        <w:jc w:val="both"/>
      </w:pPr>
      <w:r>
        <w:rPr>
          <w:i w:val="0"/>
          <w:iCs w:val="0"/>
          <w:sz w:val="20"/>
          <w:szCs w:val="20"/>
        </w:rPr>
        <w:t xml:space="preserve">La importancia global (SHAP, Figura 7) y los tres drivers por vehículo cuentan la misma historia en términos de negocio: </w:t>
      </w:r>
      <w:r>
        <w:rPr>
          <w:b/>
          <w:bCs/>
          <w:i w:val="0"/>
          <w:iCs w:val="0"/>
          <w:sz w:val="20"/>
          <w:szCs w:val="20"/>
        </w:rPr>
        <w:t xml:space="preserve">ciclo de vida</w:t>
      </w:r>
      <w:r>
        <w:rPr>
          <w:i w:val="0"/>
          <w:iCs w:val="0"/>
          <w:sz w:val="20"/>
          <w:szCs w:val="20"/>
        </w:rPr>
        <w:t xml:space="preserve"> (versión, generación, antigüedad, n° de service: el riesgo crece con la edad del vehículo), </w:t>
      </w:r>
      <w:r>
        <w:rPr>
          <w:b/>
          <w:bCs/>
          <w:i w:val="0"/>
          <w:iCs w:val="0"/>
          <w:sz w:val="20"/>
          <w:szCs w:val="20"/>
        </w:rPr>
        <w:t xml:space="preserve">intensidad de la relación</w:t>
      </w:r>
      <w:r>
        <w:rPr>
          <w:i w:val="0"/>
          <w:iCs w:val="0"/>
          <w:sz w:val="20"/>
          <w:szCs w:val="20"/>
        </w:rPr>
        <w:t xml:space="preserve"> (mantenimientos por año observado, visitas: el cliente que viene seguido, sigue viniendo), </w:t>
      </w:r>
      <w:r>
        <w:rPr>
          <w:b/>
          <w:bCs/>
          <w:i w:val="0"/>
          <w:iCs w:val="0"/>
          <w:sz w:val="20"/>
          <w:szCs w:val="20"/>
        </w:rPr>
        <w:t xml:space="preserve">uso y atraso</w:t>
      </w:r>
      <w:r>
        <w:rPr>
          <w:i w:val="0"/>
          <w:iCs w:val="0"/>
          <w:sz w:val="20"/>
          <w:szCs w:val="20"/>
        </w:rPr>
        <w:t xml:space="preserve"> (km/día, km de atraso del último service respecto del plan: quien llegó tarde al último service tiene más chance de no llegar al próximo), </w:t>
      </w:r>
      <w:r>
        <w:rPr>
          <w:b/>
          <w:bCs/>
          <w:i w:val="0"/>
          <w:iCs w:val="0"/>
          <w:sz w:val="20"/>
          <w:szCs w:val="20"/>
        </w:rPr>
        <w:t xml:space="preserve">flota</w:t>
      </w:r>
      <w:r>
        <w:rPr>
          <w:i w:val="0"/>
          <w:iCs w:val="0"/>
          <w:sz w:val="20"/>
          <w:szCs w:val="20"/>
        </w:rPr>
        <w:t xml:space="preserve"> (las flotas grandes entran menos a la red) y </w:t>
      </w:r>
      <w:r>
        <w:rPr>
          <w:b/>
          <w:bCs/>
          <w:i w:val="0"/>
          <w:iCs w:val="0"/>
          <w:sz w:val="20"/>
          <w:szCs w:val="20"/>
        </w:rPr>
        <w:t xml:space="preserve">concesionario</w:t>
      </w:r>
      <w:r>
        <w:rPr>
          <w:i w:val="0"/>
          <w:iCs w:val="0"/>
          <w:sz w:val="20"/>
          <w:szCs w:val="20"/>
        </w:rPr>
        <w:t xml:space="preserve"> (un driver accionable, con dispersión real y estable entre años). Para cada vehículo el sistema entrega los tres drivers con mayor peso en lenguaje llano, por ejemplo "días entre los dos últimos mantenimientos = 312 (↑ riesgo)" o "sin registro en la red" para quien nunca pasó por un concesionario.</w:t>
      </w:r>
    </w:p>
    <w:p>
      <w:pPr>
        <w:keepNext/>
        <w:spacing w:before="120"/>
        <w:ind w:left="170"/>
        <w:jc w:val="center"/>
      </w:pPr>
      <w:r>
        <w:rPr>
          <w:noProof/>
        </w:rPr>
        <w:drawing>
          <wp:inline distT="0" distB="0" distL="0" distR="0">
            <wp:extent cx="4572000" cy="3233971"/>
            <wp:effectExtent l="0" t="0" r="0" b="0"/>
            <wp:docPr id="1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7"/>
                    <pic:cNvPicPr/>
                  </pic:nvPicPr>
                  <pic:blipFill>
                    <a:blip r:embed="rIdFig7"/>
                    <a:stretch>
                      <a:fillRect/>
                    </a:stretch>
                  </pic:blipFill>
                  <pic:spPr>
                    <a:xfrm>
                      <a:off x="0" y="0"/>
                      <a:ext cx="4572000" cy="3233971"/>
                    </a:xfrm>
                    <a:prstGeom prst="rect">
                      <a:avLst/>
                    </a:prstGeom>
                  </pic:spPr>
                </pic:pic>
              </a:graphicData>
            </a:graphic>
          </wp:inline>
        </w:drawing>
      </w:r>
    </w:p>
    <w:p>
      <w:pPr>
        <w:pStyle w:val="Caption"/>
        <w:spacing w:before="40" w:after="160"/>
        <w:ind w:left="170" w:right="120"/>
        <w:jc w:val="center"/>
      </w:pPr>
      <w:r>
        <w:rPr>
          <w:sz w:val="16"/>
          <w:szCs w:val="16"/>
        </w:rPr>
        <w:t xml:space="preserve">Figura 7. Importancia media (SHAP) de las features en test.</w:t>
      </w:r>
    </w:p>
    <w:p>
      <w:pPr>
        <w:pStyle w:val="Heading3"/>
        <w:numPr>
          <w:ilvl w:val="2"/>
          <w:numId w:val="2"/>
        </w:numPr>
        <w:tabs>
          <w:tab w:val="left" w:pos="840"/>
        </w:tabs>
        <w:spacing w:before="240"/>
        <w:ind w:left="840" w:hanging="670"/>
      </w:pPr>
      <w:r>
        <w:t xml:space="preserve">Segmentos accionables, activación e integración</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1100"/>
        <w:gridCol w:w="800"/>
        <w:gridCol w:w="900"/>
        <w:gridCol w:w="1000"/>
        <w:gridCol w:w="3400"/>
        <w:gridCol w:w="1500"/>
      </w:tblGrid>
      <w:tr>
        <w:trPr>
          <w:cantSplit/>
          <w:tblHeader/>
        </w:trPr>
        <w:tc>
          <w:tcPr>
            <w:tcW w:w="1100" w:type="dxa"/>
            <w:shd w:val="clear" w:color="auto" w:fill="EDEDED"/>
          </w:tcPr>
          <w:p>
            <w:pPr>
              <w:pStyle w:val="TableParagraph"/>
              <w:spacing w:before="20" w:after="20" w:line="220" w:lineRule="auto"/>
              <w:ind w:left="40"/>
              <w:jc w:val="left"/>
            </w:pPr>
            <w:r>
              <w:rPr>
                <w:b/>
                <w:bCs/>
                <w:i w:val="0"/>
                <w:iCs w:val="0"/>
                <w:sz w:val="17"/>
                <w:szCs w:val="17"/>
              </w:rPr>
              <w:t xml:space="preserve">Segmento</w:t>
            </w:r>
          </w:p>
        </w:tc>
        <w:tc>
          <w:tcPr>
            <w:tcW w:w="800" w:type="dxa"/>
            <w:shd w:val="clear" w:color="auto" w:fill="EDEDED"/>
          </w:tcPr>
          <w:p>
            <w:pPr>
              <w:pStyle w:val="TableParagraph"/>
              <w:spacing w:before="20" w:after="20" w:line="220" w:lineRule="auto"/>
              <w:ind w:left="40"/>
              <w:jc w:val="left"/>
            </w:pPr>
            <w:r>
              <w:rPr>
                <w:b/>
                <w:bCs/>
                <w:i w:val="0"/>
                <w:iCs w:val="0"/>
                <w:sz w:val="17"/>
                <w:szCs w:val="17"/>
              </w:rPr>
              <w:t xml:space="preserve">Tamaño</w:t>
            </w:r>
          </w:p>
        </w:tc>
        <w:tc>
          <w:tcPr>
            <w:tcW w:w="900" w:type="dxa"/>
            <w:shd w:val="clear" w:color="auto" w:fill="EDEDED"/>
          </w:tcPr>
          <w:p>
            <w:pPr>
              <w:pStyle w:val="TableParagraph"/>
              <w:spacing w:before="20" w:after="20" w:line="220" w:lineRule="auto"/>
              <w:ind w:left="40"/>
              <w:jc w:val="left"/>
            </w:pPr>
            <w:r>
              <w:rPr>
                <w:b/>
                <w:bCs/>
                <w:i w:val="0"/>
                <w:iCs w:val="0"/>
                <w:sz w:val="17"/>
                <w:szCs w:val="17"/>
              </w:rPr>
              <w:t xml:space="preserve">Churn (test)</w:t>
            </w:r>
          </w:p>
        </w:tc>
        <w:tc>
          <w:tcPr>
            <w:tcW w:w="1000" w:type="dxa"/>
            <w:shd w:val="clear" w:color="auto" w:fill="EDEDED"/>
          </w:tcPr>
          <w:p>
            <w:pPr>
              <w:pStyle w:val="TableParagraph"/>
              <w:spacing w:before="20" w:after="20" w:line="220" w:lineRule="auto"/>
              <w:ind w:left="40"/>
              <w:jc w:val="left"/>
            </w:pPr>
            <w:r>
              <w:rPr>
                <w:b/>
                <w:bCs/>
                <w:i w:val="0"/>
                <w:iCs w:val="0"/>
                <w:sz w:val="17"/>
                <w:szCs w:val="17"/>
              </w:rPr>
              <w:t xml:space="preserve">% churners</w:t>
            </w:r>
          </w:p>
        </w:tc>
        <w:tc>
          <w:tcPr>
            <w:tcW w:w="3400" w:type="dxa"/>
            <w:shd w:val="clear" w:color="auto" w:fill="EDEDED"/>
          </w:tcPr>
          <w:p>
            <w:pPr>
              <w:pStyle w:val="TableParagraph"/>
              <w:spacing w:before="20" w:after="20" w:line="220" w:lineRule="auto"/>
              <w:ind w:left="40"/>
              <w:jc w:val="left"/>
            </w:pPr>
            <w:r>
              <w:rPr>
                <w:b/>
                <w:bCs/>
                <w:i w:val="0"/>
                <w:iCs w:val="0"/>
                <w:sz w:val="17"/>
                <w:szCs w:val="17"/>
              </w:rPr>
              <w:t xml:space="preserve">Acción</w:t>
            </w:r>
          </w:p>
        </w:tc>
        <w:tc>
          <w:tcPr>
            <w:tcW w:w="1500" w:type="dxa"/>
            <w:shd w:val="clear" w:color="auto" w:fill="EDEDED"/>
          </w:tcPr>
          <w:p>
            <w:pPr>
              <w:pStyle w:val="TableParagraph"/>
              <w:spacing w:before="20" w:after="20" w:line="220" w:lineRule="auto"/>
              <w:ind w:left="40"/>
              <w:jc w:val="left"/>
            </w:pPr>
            <w:r>
              <w:rPr>
                <w:b/>
                <w:bCs/>
                <w:i w:val="0"/>
                <w:iCs w:val="0"/>
                <w:sz w:val="17"/>
                <w:szCs w:val="17"/>
              </w:rPr>
              <w:t xml:space="preserve">Canal</w:t>
            </w:r>
          </w:p>
        </w:tc>
      </w:tr>
      <w:tr>
        <w:trPr>
          <w:cantSplit/>
        </w:trPr>
        <w:tc>
          <w:tcPr>
            <w:tcW w:w="1100" w:type="dxa"/>
          </w:tcPr>
          <w:p>
            <w:pPr>
              <w:pStyle w:val="TableParagraph"/>
              <w:spacing w:before="20" w:after="20" w:line="220" w:lineRule="auto"/>
              <w:ind w:left="40"/>
              <w:jc w:val="left"/>
            </w:pPr>
            <w:r>
              <w:rPr>
                <w:i w:val="0"/>
                <w:iCs w:val="0"/>
                <w:sz w:val="17"/>
                <w:szCs w:val="17"/>
              </w:rPr>
              <w:t xml:space="preserve">Alto</w:t>
            </w:r>
          </w:p>
        </w:tc>
        <w:tc>
          <w:tcPr>
            <w:tcW w:w="800" w:type="dxa"/>
          </w:tcPr>
          <w:p>
            <w:pPr>
              <w:pStyle w:val="TableParagraph"/>
              <w:spacing w:before="20" w:after="20" w:line="220" w:lineRule="auto"/>
              <w:ind w:left="40"/>
              <w:jc w:val="left"/>
            </w:pPr>
            <w:r>
              <w:rPr>
                <w:i w:val="0"/>
                <w:iCs w:val="0"/>
                <w:sz w:val="17"/>
                <w:szCs w:val="17"/>
              </w:rPr>
              <w:t xml:space="preserve">20 %</w:t>
            </w:r>
          </w:p>
        </w:tc>
        <w:tc>
          <w:tcPr>
            <w:tcW w:w="900" w:type="dxa"/>
          </w:tcPr>
          <w:p>
            <w:pPr>
              <w:pStyle w:val="TableParagraph"/>
              <w:spacing w:before="20" w:after="20" w:line="220" w:lineRule="auto"/>
              <w:ind w:left="40"/>
              <w:jc w:val="left"/>
            </w:pPr>
            <w:r>
              <w:rPr>
                <w:i w:val="0"/>
                <w:iCs w:val="0"/>
                <w:sz w:val="17"/>
                <w:szCs w:val="17"/>
              </w:rPr>
              <w:t xml:space="preserve">78 %</w:t>
            </w:r>
          </w:p>
        </w:tc>
        <w:tc>
          <w:tcPr>
            <w:tcW w:w="1000" w:type="dxa"/>
          </w:tcPr>
          <w:p>
            <w:pPr>
              <w:pStyle w:val="TableParagraph"/>
              <w:spacing w:before="20" w:after="20" w:line="220" w:lineRule="auto"/>
              <w:ind w:left="40"/>
              <w:jc w:val="left"/>
            </w:pPr>
            <w:r>
              <w:rPr>
                <w:i w:val="0"/>
                <w:iCs w:val="0"/>
                <w:sz w:val="17"/>
                <w:szCs w:val="17"/>
              </w:rPr>
              <w:t xml:space="preserve">36 %</w:t>
            </w:r>
          </w:p>
        </w:tc>
        <w:tc>
          <w:tcPr>
            <w:tcW w:w="3400" w:type="dxa"/>
          </w:tcPr>
          <w:p>
            <w:pPr>
              <w:pStyle w:val="TableParagraph"/>
              <w:spacing w:before="20" w:after="20" w:line="220" w:lineRule="auto"/>
              <w:ind w:left="40"/>
              <w:jc w:val="left"/>
            </w:pPr>
            <w:r>
              <w:rPr>
                <w:i w:val="0"/>
                <w:iCs w:val="0"/>
                <w:sz w:val="17"/>
                <w:szCs w:val="17"/>
              </w:rPr>
              <w:t xml:space="preserve">Llamado del asesor de service dentro de las 48 h de abrir la ventana con oferta concreta: el descuento por continuidad que Ford ya tiene (5 % en el 2° service, 10 % en el 3°, 15 % del 4° en adelante), precio fijo, turno con retiro y entrega</w:t>
            </w:r>
          </w:p>
        </w:tc>
        <w:tc>
          <w:tcPr>
            <w:tcW w:w="1500" w:type="dxa"/>
          </w:tcPr>
          <w:p>
            <w:pPr>
              <w:pStyle w:val="TableParagraph"/>
              <w:spacing w:before="20" w:after="20" w:line="220" w:lineRule="auto"/>
              <w:ind w:left="40"/>
              <w:jc w:val="left"/>
            </w:pPr>
            <w:r>
              <w:rPr>
                <w:i w:val="0"/>
                <w:iCs w:val="0"/>
                <w:sz w:val="17"/>
                <w:szCs w:val="17"/>
              </w:rPr>
              <w:t xml:space="preserve">Service Leads (dealer)</w:t>
            </w:r>
          </w:p>
        </w:tc>
      </w:tr>
      <w:tr>
        <w:trPr>
          <w:cantSplit/>
        </w:trPr>
        <w:tc>
          <w:tcPr>
            <w:tcW w:w="1100" w:type="dxa"/>
          </w:tcPr>
          <w:p>
            <w:pPr>
              <w:pStyle w:val="TableParagraph"/>
              <w:spacing w:before="20" w:after="20" w:line="220" w:lineRule="auto"/>
              <w:ind w:left="40"/>
              <w:jc w:val="left"/>
            </w:pPr>
            <w:r>
              <w:rPr>
                <w:i w:val="0"/>
                <w:iCs w:val="0"/>
                <w:sz w:val="17"/>
                <w:szCs w:val="17"/>
              </w:rPr>
              <w:t xml:space="preserve">Medio</w:t>
            </w:r>
          </w:p>
        </w:tc>
        <w:tc>
          <w:tcPr>
            <w:tcW w:w="800" w:type="dxa"/>
          </w:tcPr>
          <w:p>
            <w:pPr>
              <w:pStyle w:val="TableParagraph"/>
              <w:spacing w:before="20" w:after="20" w:line="220" w:lineRule="auto"/>
              <w:ind w:left="40"/>
              <w:jc w:val="left"/>
            </w:pPr>
            <w:r>
              <w:rPr>
                <w:i w:val="0"/>
                <w:iCs w:val="0"/>
                <w:sz w:val="17"/>
                <w:szCs w:val="17"/>
              </w:rPr>
              <w:t xml:space="preserve">30 %</w:t>
            </w:r>
          </w:p>
        </w:tc>
        <w:tc>
          <w:tcPr>
            <w:tcW w:w="900" w:type="dxa"/>
          </w:tcPr>
          <w:p>
            <w:pPr>
              <w:pStyle w:val="TableParagraph"/>
              <w:spacing w:before="20" w:after="20" w:line="220" w:lineRule="auto"/>
              <w:ind w:left="40"/>
              <w:jc w:val="left"/>
            </w:pPr>
            <w:r>
              <w:rPr>
                <w:i w:val="0"/>
                <w:iCs w:val="0"/>
                <w:sz w:val="17"/>
                <w:szCs w:val="17"/>
              </w:rPr>
              <w:t xml:space="preserve">47 %</w:t>
            </w:r>
          </w:p>
        </w:tc>
        <w:tc>
          <w:tcPr>
            <w:tcW w:w="1000" w:type="dxa"/>
          </w:tcPr>
          <w:p>
            <w:pPr>
              <w:pStyle w:val="TableParagraph"/>
              <w:spacing w:before="20" w:after="20" w:line="220" w:lineRule="auto"/>
              <w:ind w:left="40"/>
              <w:jc w:val="left"/>
            </w:pPr>
            <w:r>
              <w:rPr>
                <w:i w:val="0"/>
                <w:iCs w:val="0"/>
                <w:sz w:val="17"/>
                <w:szCs w:val="17"/>
              </w:rPr>
              <w:t xml:space="preserve">33 %</w:t>
            </w:r>
          </w:p>
        </w:tc>
        <w:tc>
          <w:tcPr>
            <w:tcW w:w="3400" w:type="dxa"/>
          </w:tcPr>
          <w:p>
            <w:pPr>
              <w:pStyle w:val="TableParagraph"/>
              <w:spacing w:before="20" w:after="20" w:line="220" w:lineRule="auto"/>
              <w:ind w:left="40"/>
              <w:jc w:val="left"/>
            </w:pPr>
            <w:r>
              <w:rPr>
                <w:i w:val="0"/>
                <w:iCs w:val="0"/>
                <w:sz w:val="17"/>
                <w:szCs w:val="17"/>
              </w:rPr>
              <w:t xml:space="preserve">Recordatorio personalizado con turno sugerido y beneficio liviano; segundo toque a los 10 días si no agenda</w:t>
            </w:r>
          </w:p>
        </w:tc>
        <w:tc>
          <w:tcPr>
            <w:tcW w:w="1500" w:type="dxa"/>
          </w:tcPr>
          <w:p>
            <w:pPr>
              <w:pStyle w:val="TableParagraph"/>
              <w:spacing w:before="20" w:after="20" w:line="220" w:lineRule="auto"/>
              <w:ind w:left="40"/>
              <w:jc w:val="left"/>
            </w:pPr>
            <w:r>
              <w:rPr>
                <w:i w:val="0"/>
                <w:iCs w:val="0"/>
                <w:sz w:val="17"/>
                <w:szCs w:val="17"/>
              </w:rPr>
              <w:t xml:space="preserve">FordPass / WhatsApp (Customer Tweet)</w:t>
            </w:r>
          </w:p>
        </w:tc>
      </w:tr>
      <w:tr>
        <w:trPr>
          <w:cantSplit/>
        </w:trPr>
        <w:tc>
          <w:tcPr>
            <w:tcW w:w="1100" w:type="dxa"/>
          </w:tcPr>
          <w:p>
            <w:pPr>
              <w:pStyle w:val="TableParagraph"/>
              <w:spacing w:before="20" w:after="20" w:line="220" w:lineRule="auto"/>
              <w:ind w:left="40"/>
              <w:jc w:val="left"/>
            </w:pPr>
            <w:r>
              <w:rPr>
                <w:i w:val="0"/>
                <w:iCs w:val="0"/>
                <w:sz w:val="17"/>
                <w:szCs w:val="17"/>
              </w:rPr>
              <w:t xml:space="preserve">Bajo</w:t>
            </w:r>
          </w:p>
        </w:tc>
        <w:tc>
          <w:tcPr>
            <w:tcW w:w="800" w:type="dxa"/>
          </w:tcPr>
          <w:p>
            <w:pPr>
              <w:pStyle w:val="TableParagraph"/>
              <w:spacing w:before="20" w:after="20" w:line="220" w:lineRule="auto"/>
              <w:ind w:left="40"/>
              <w:jc w:val="left"/>
            </w:pPr>
            <w:r>
              <w:rPr>
                <w:i w:val="0"/>
                <w:iCs w:val="0"/>
                <w:sz w:val="17"/>
                <w:szCs w:val="17"/>
              </w:rPr>
              <w:t xml:space="preserve">50 %</w:t>
            </w:r>
          </w:p>
        </w:tc>
        <w:tc>
          <w:tcPr>
            <w:tcW w:w="900" w:type="dxa"/>
          </w:tcPr>
          <w:p>
            <w:pPr>
              <w:pStyle w:val="TableParagraph"/>
              <w:spacing w:before="20" w:after="20" w:line="220" w:lineRule="auto"/>
              <w:ind w:left="40"/>
              <w:jc w:val="left"/>
            </w:pPr>
            <w:r>
              <w:rPr>
                <w:i w:val="0"/>
                <w:iCs w:val="0"/>
                <w:sz w:val="17"/>
                <w:szCs w:val="17"/>
              </w:rPr>
              <w:t xml:space="preserve">26 %</w:t>
            </w:r>
          </w:p>
        </w:tc>
        <w:tc>
          <w:tcPr>
            <w:tcW w:w="1000" w:type="dxa"/>
          </w:tcPr>
          <w:p>
            <w:pPr>
              <w:pStyle w:val="TableParagraph"/>
              <w:spacing w:before="20" w:after="20" w:line="220" w:lineRule="auto"/>
              <w:ind w:left="40"/>
              <w:jc w:val="left"/>
            </w:pPr>
            <w:r>
              <w:rPr>
                <w:i w:val="0"/>
                <w:iCs w:val="0"/>
                <w:sz w:val="17"/>
                <w:szCs w:val="17"/>
              </w:rPr>
              <w:t xml:space="preserve">31 %</w:t>
            </w:r>
          </w:p>
        </w:tc>
        <w:tc>
          <w:tcPr>
            <w:tcW w:w="3400" w:type="dxa"/>
          </w:tcPr>
          <w:p>
            <w:pPr>
              <w:pStyle w:val="TableParagraph"/>
              <w:spacing w:before="20" w:after="20" w:line="220" w:lineRule="auto"/>
              <w:ind w:left="40"/>
              <w:jc w:val="left"/>
            </w:pPr>
            <w:r>
              <w:rPr>
                <w:i w:val="0"/>
                <w:iCs w:val="0"/>
                <w:sz w:val="17"/>
                <w:szCs w:val="17"/>
              </w:rPr>
              <w:t xml:space="preserve">Recordatorio estándar automático</w:t>
            </w:r>
          </w:p>
        </w:tc>
        <w:tc>
          <w:tcPr>
            <w:tcW w:w="1500" w:type="dxa"/>
          </w:tcPr>
          <w:p>
            <w:pPr>
              <w:pStyle w:val="TableParagraph"/>
              <w:spacing w:before="20" w:after="20" w:line="220" w:lineRule="auto"/>
              <w:ind w:left="40"/>
              <w:jc w:val="left"/>
            </w:pPr>
            <w:r>
              <w:rPr>
                <w:i w:val="0"/>
                <w:iCs w:val="0"/>
                <w:sz w:val="17"/>
                <w:szCs w:val="17"/>
              </w:rPr>
              <w:t xml:space="preserve">Service Reminder</w:t>
            </w:r>
          </w:p>
        </w:tc>
      </w:tr>
    </w:tbl>
    <w:p>
      <w:pPr>
        <w:pStyle w:val="BodyText"/>
        <w:spacing w:before="20" w:line="264" w:lineRule="auto"/>
        <w:ind w:left="170" w:right="120"/>
        <w:jc w:val="both"/>
      </w:pPr>
    </w:p>
    <w:p>
      <w:pPr>
        <w:pStyle w:val="BodyText"/>
        <w:spacing w:before="90" w:line="264" w:lineRule="auto"/>
        <w:ind w:left="170" w:right="120"/>
        <w:jc w:val="both"/>
      </w:pPr>
      <w:r>
        <w:rPr>
          <w:b/>
          <w:bCs/>
          <w:i w:val="0"/>
          <w:iCs w:val="0"/>
          <w:sz w:val="20"/>
          <w:szCs w:val="20"/>
        </w:rPr>
        <w:t xml:space="preserve">Reglas operativas alrededor del modelo.</w:t>
      </w:r>
      <w:r>
        <w:rPr>
          <w:i w:val="0"/>
          <w:iCs w:val="0"/>
          <w:sz w:val="20"/>
          <w:szCs w:val="20"/>
        </w:rPr>
        <w:t xml:space="preserve"> El vehículo que ya tiene turno agendado sale de la lista (1.791 de los 30.504 de hoy). La bandeja muestra los días restantes de horizonte: un vehículo con 10 días de margen se prioriza distinto que uno con 90. Un cliente con varios vehículos en ventana recibe un único contacto con la lista de sus unidades (en el último año, unos 1.200 clientes tuvieron dos o más vehículos entrando en ventana el mismo mes). Las relaciones sin cliente identificable o con identidad ambigua se scorean pero no entran en la lista automática: se resuelven en CRM. El scoring se corre en lote el primer día de cada mes sobre las ventanas abiertas o que abren ese mes; el modelo se re-entrena cada trimestre con las ventanas cerradas.</w:t>
      </w:r>
    </w:p>
    <w:p>
      <w:pPr>
        <w:pStyle w:val="BodyText"/>
        <w:spacing w:before="90" w:line="264" w:lineRule="auto"/>
        <w:ind w:left="170" w:right="120"/>
        <w:jc w:val="both"/>
      </w:pPr>
      <w:r>
        <w:rPr>
          <w:b/>
          <w:bCs/>
          <w:i w:val="0"/>
          <w:iCs w:val="0"/>
          <w:sz w:val="20"/>
          <w:szCs w:val="20"/>
        </w:rPr>
        <w:t xml:space="preserve">Población de hoy</w:t>
      </w:r>
      <w:r>
        <w:rPr>
          <w:i w:val="0"/>
          <w:iCs w:val="0"/>
          <w:sz w:val="20"/>
          <w:szCs w:val="20"/>
        </w:rPr>
        <w:t xml:space="preserve"> (corte 25/08/2026): 30.504 vehículos, 22.255 en ventana y 8.249 que entran en los próximos 30 días. Alto: 6.100; Medio: 9.152; Bajo: 15.252 (Figura 8 para el volumen mensual). </w:t>
      </w:r>
      <w:r>
        <w:rPr>
          <w:b/>
          <w:bCs/>
          <w:i w:val="0"/>
          <w:iCs w:val="0"/>
          <w:sz w:val="20"/>
          <w:szCs w:val="20"/>
        </w:rPr>
        <w:t xml:space="preserve">Integración</w:t>
      </w:r>
      <w:r>
        <w:rPr>
          <w:i w:val="0"/>
          <w:iCs w:val="0"/>
          <w:sz w:val="20"/>
          <w:szCs w:val="20"/>
        </w:rPr>
        <w:t xml:space="preserve">: BigQuery genera la población en ventana; el pipeline Python produce el score versionado con el output mínimo de la ficha; Service Leads y Service Reminder reciben customer_id, vehicle_id, fecha de scoring, probabilidad, segmento y drivers; CRM valida identidad, consentimiento y turnos vigentes antes de contactar. La medición se hace por decil de riesgo, acción, concesionario y período, como pide la ficha.</w:t>
      </w:r>
    </w:p>
    <w:p>
      <w:pPr>
        <w:keepNext/>
        <w:spacing w:before="120"/>
        <w:ind w:left="170"/>
        <w:jc w:val="center"/>
      </w:pPr>
      <w:r>
        <w:rPr>
          <w:noProof/>
        </w:rPr>
        <w:drawing>
          <wp:inline distT="0" distB="0" distL="0" distR="0">
            <wp:extent cx="4826000" cy="2554941"/>
            <wp:effectExtent l="0" t="0" r="0" b="0"/>
            <wp:docPr id="10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8"/>
                    <pic:cNvPicPr/>
                  </pic:nvPicPr>
                  <pic:blipFill>
                    <a:blip r:embed="rIdFig8"/>
                    <a:stretch>
                      <a:fillRect/>
                    </a:stretch>
                  </pic:blipFill>
                  <pic:spPr>
                    <a:xfrm>
                      <a:off x="0" y="0"/>
                      <a:ext cx="4826000" cy="2554941"/>
                    </a:xfrm>
                    <a:prstGeom prst="rect">
                      <a:avLst/>
                    </a:prstGeom>
                  </pic:spPr>
                </pic:pic>
              </a:graphicData>
            </a:graphic>
          </wp:inline>
        </w:drawing>
      </w:r>
    </w:p>
    <w:p>
      <w:pPr>
        <w:pStyle w:val="Caption"/>
        <w:spacing w:before="40" w:after="160"/>
        <w:ind w:left="170" w:right="120"/>
        <w:jc w:val="center"/>
      </w:pPr>
      <w:r>
        <w:rPr>
          <w:sz w:val="16"/>
          <w:szCs w:val="16"/>
        </w:rPr>
        <w:t xml:space="preserve">Figura 8. Vehículos que entran en ventana por mes: dimensiona la capacidad de contacto necesaria.</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4300"/>
        <w:gridCol w:w="4300"/>
      </w:tblGrid>
      <w:tr>
        <w:trPr>
          <w:cantSplit/>
          <w:tblHeader/>
        </w:trPr>
        <w:tc>
          <w:tcPr>
            <w:tcW w:w="4300" w:type="dxa"/>
            <w:shd w:val="clear" w:color="auto" w:fill="EDEDED"/>
          </w:tcPr>
          <w:p>
            <w:pPr>
              <w:pStyle w:val="TableParagraph"/>
              <w:spacing w:before="20" w:after="20" w:line="220" w:lineRule="auto"/>
              <w:ind w:left="40"/>
              <w:jc w:val="left"/>
            </w:pPr>
            <w:r>
              <w:rPr>
                <w:b/>
                <w:bCs/>
                <w:i w:val="0"/>
                <w:iCs w:val="0"/>
                <w:sz w:val="17"/>
                <w:szCs w:val="17"/>
              </w:rPr>
              <w:t xml:space="preserve">Campo del output</w:t>
            </w:r>
          </w:p>
        </w:tc>
        <w:tc>
          <w:tcPr>
            <w:tcW w:w="4300" w:type="dxa"/>
            <w:shd w:val="clear" w:color="auto" w:fill="EDEDED"/>
          </w:tcPr>
          <w:p>
            <w:pPr>
              <w:pStyle w:val="TableParagraph"/>
              <w:spacing w:before="20" w:after="20" w:line="220" w:lineRule="auto"/>
              <w:ind w:left="40"/>
              <w:jc w:val="left"/>
            </w:pPr>
            <w:r>
              <w:rPr>
                <w:b/>
                <w:bCs/>
                <w:i w:val="0"/>
                <w:iCs w:val="0"/>
                <w:sz w:val="17"/>
                <w:szCs w:val="17"/>
              </w:rPr>
              <w:t xml:space="preserve">Contenido</w:t>
            </w:r>
          </w:p>
        </w:tc>
      </w:tr>
      <w:tr>
        <w:trPr>
          <w:cantSplit/>
        </w:trPr>
        <w:tc>
          <w:tcPr>
            <w:tcW w:w="4300" w:type="dxa"/>
          </w:tcPr>
          <w:p>
            <w:pPr>
              <w:pStyle w:val="TableParagraph"/>
              <w:spacing w:before="20" w:after="20" w:line="220" w:lineRule="auto"/>
              <w:ind w:left="40"/>
              <w:jc w:val="left"/>
            </w:pPr>
            <w:r>
              <w:rPr>
                <w:i w:val="0"/>
                <w:iCs w:val="0"/>
                <w:sz w:val="17"/>
                <w:szCs w:val="17"/>
              </w:rPr>
              <w:t xml:space="preserve">customer_id, vehicle_id</w:t>
            </w:r>
          </w:p>
        </w:tc>
        <w:tc>
          <w:tcPr>
            <w:tcW w:w="4300" w:type="dxa"/>
          </w:tcPr>
          <w:p>
            <w:pPr>
              <w:pStyle w:val="TableParagraph"/>
              <w:spacing w:before="20" w:after="20" w:line="220" w:lineRule="auto"/>
              <w:ind w:left="40"/>
              <w:jc w:val="left"/>
            </w:pPr>
            <w:r>
              <w:rPr>
                <w:i w:val="0"/>
                <w:iCs w:val="0"/>
                <w:sz w:val="17"/>
                <w:szCs w:val="17"/>
              </w:rPr>
              <w:t xml:space="preserve">identificadores seudonimizados</w:t>
            </w:r>
          </w:p>
        </w:tc>
      </w:tr>
      <w:tr>
        <w:trPr>
          <w:cantSplit/>
        </w:trPr>
        <w:tc>
          <w:tcPr>
            <w:tcW w:w="4300" w:type="dxa"/>
          </w:tcPr>
          <w:p>
            <w:pPr>
              <w:pStyle w:val="TableParagraph"/>
              <w:spacing w:before="20" w:after="20" w:line="220" w:lineRule="auto"/>
              <w:ind w:left="40"/>
              <w:jc w:val="left"/>
            </w:pPr>
            <w:r>
              <w:rPr>
                <w:i w:val="0"/>
                <w:iCs w:val="0"/>
                <w:sz w:val="17"/>
                <w:szCs w:val="17"/>
              </w:rPr>
              <w:t xml:space="preserve">fecha_scoring, fecha_apertura_ventana, vencimiento_estimado, cierre_horizonte, dias_restantes_horizonte</w:t>
            </w:r>
          </w:p>
        </w:tc>
        <w:tc>
          <w:tcPr>
            <w:tcW w:w="4300" w:type="dxa"/>
          </w:tcPr>
          <w:p>
            <w:pPr>
              <w:pStyle w:val="TableParagraph"/>
              <w:spacing w:before="20" w:after="20" w:line="220" w:lineRule="auto"/>
              <w:ind w:left="40"/>
              <w:jc w:val="left"/>
            </w:pPr>
            <w:r>
              <w:rPr>
                <w:i w:val="0"/>
                <w:iCs w:val="0"/>
                <w:sz w:val="17"/>
                <w:szCs w:val="17"/>
              </w:rPr>
              <w:t xml:space="preserve">geometría de la ventana</w:t>
            </w:r>
          </w:p>
        </w:tc>
      </w:tr>
      <w:tr>
        <w:trPr>
          <w:cantSplit/>
        </w:trPr>
        <w:tc>
          <w:tcPr>
            <w:tcW w:w="4300" w:type="dxa"/>
          </w:tcPr>
          <w:p>
            <w:pPr>
              <w:pStyle w:val="TableParagraph"/>
              <w:spacing w:before="20" w:after="20" w:line="220" w:lineRule="auto"/>
              <w:ind w:left="40"/>
              <w:jc w:val="left"/>
            </w:pPr>
            <w:r>
              <w:rPr>
                <w:i w:val="0"/>
                <w:iCs w:val="0"/>
                <w:sz w:val="17"/>
                <w:szCs w:val="17"/>
              </w:rPr>
              <w:t xml:space="preserve">prob_churn</w:t>
            </w:r>
          </w:p>
        </w:tc>
        <w:tc>
          <w:tcPr>
            <w:tcW w:w="4300" w:type="dxa"/>
          </w:tcPr>
          <w:p>
            <w:pPr>
              <w:pStyle w:val="TableParagraph"/>
              <w:spacing w:before="20" w:after="20" w:line="220" w:lineRule="auto"/>
              <w:ind w:left="40"/>
              <w:jc w:val="left"/>
            </w:pPr>
            <w:r>
              <w:rPr>
                <w:i w:val="0"/>
                <w:iCs w:val="0"/>
                <w:sz w:val="17"/>
                <w:szCs w:val="17"/>
              </w:rPr>
              <w:t xml:space="preserve">probabilidad calibrada (0-1)</w:t>
            </w:r>
          </w:p>
        </w:tc>
      </w:tr>
      <w:tr>
        <w:trPr>
          <w:cantSplit/>
        </w:trPr>
        <w:tc>
          <w:tcPr>
            <w:tcW w:w="4300" w:type="dxa"/>
          </w:tcPr>
          <w:p>
            <w:pPr>
              <w:pStyle w:val="TableParagraph"/>
              <w:spacing w:before="20" w:after="20" w:line="220" w:lineRule="auto"/>
              <w:ind w:left="40"/>
              <w:jc w:val="left"/>
            </w:pPr>
            <w:r>
              <w:rPr>
                <w:i w:val="0"/>
                <w:iCs w:val="0"/>
                <w:sz w:val="17"/>
                <w:szCs w:val="17"/>
              </w:rPr>
              <w:t xml:space="preserve">segmento</w:t>
            </w:r>
          </w:p>
        </w:tc>
        <w:tc>
          <w:tcPr>
            <w:tcW w:w="4300" w:type="dxa"/>
          </w:tcPr>
          <w:p>
            <w:pPr>
              <w:pStyle w:val="TableParagraph"/>
              <w:spacing w:before="20" w:after="20" w:line="220" w:lineRule="auto"/>
              <w:ind w:left="40"/>
              <w:jc w:val="left"/>
            </w:pPr>
            <w:r>
              <w:rPr>
                <w:i w:val="0"/>
                <w:iCs w:val="0"/>
                <w:sz w:val="17"/>
                <w:szCs w:val="17"/>
              </w:rPr>
              <w:t xml:space="preserve">Alto / Medio / Bajo</w:t>
            </w:r>
          </w:p>
        </w:tc>
      </w:tr>
      <w:tr>
        <w:trPr>
          <w:cantSplit/>
        </w:trPr>
        <w:tc>
          <w:tcPr>
            <w:tcW w:w="4300" w:type="dxa"/>
          </w:tcPr>
          <w:p>
            <w:pPr>
              <w:pStyle w:val="TableParagraph"/>
              <w:spacing w:before="20" w:after="20" w:line="220" w:lineRule="auto"/>
              <w:ind w:left="40"/>
              <w:jc w:val="left"/>
            </w:pPr>
            <w:r>
              <w:rPr>
                <w:i w:val="0"/>
                <w:iCs w:val="0"/>
                <w:sz w:val="17"/>
                <w:szCs w:val="17"/>
              </w:rPr>
              <w:t xml:space="preserve">driver_1 a driver_3</w:t>
            </w:r>
          </w:p>
        </w:tc>
        <w:tc>
          <w:tcPr>
            <w:tcW w:w="4300" w:type="dxa"/>
          </w:tcPr>
          <w:p>
            <w:pPr>
              <w:pStyle w:val="TableParagraph"/>
              <w:spacing w:before="20" w:after="20" w:line="220" w:lineRule="auto"/>
              <w:ind w:left="40"/>
              <w:jc w:val="left"/>
            </w:pPr>
            <w:r>
              <w:rPr>
                <w:i w:val="0"/>
                <w:iCs w:val="0"/>
                <w:sz w:val="17"/>
                <w:szCs w:val="17"/>
              </w:rPr>
              <w:t xml:space="preserve">principales drivers con dirección (↑/↓ riesgo)</w:t>
            </w:r>
          </w:p>
        </w:tc>
      </w:tr>
      <w:tr>
        <w:trPr>
          <w:cantSplit/>
        </w:trPr>
        <w:tc>
          <w:tcPr>
            <w:tcW w:w="4300" w:type="dxa"/>
          </w:tcPr>
          <w:p>
            <w:pPr>
              <w:pStyle w:val="TableParagraph"/>
              <w:spacing w:before="20" w:after="20" w:line="220" w:lineRule="auto"/>
              <w:ind w:left="40"/>
              <w:jc w:val="left"/>
            </w:pPr>
            <w:r>
              <w:rPr>
                <w:i w:val="0"/>
                <w:iCs w:val="0"/>
                <w:sz w:val="17"/>
                <w:szCs w:val="17"/>
              </w:rPr>
              <w:t xml:space="preserve">tiene_turno_agendado, fecha_turno_agendado, prioridad</w:t>
            </w:r>
          </w:p>
        </w:tc>
        <w:tc>
          <w:tcPr>
            <w:tcW w:w="4300" w:type="dxa"/>
          </w:tcPr>
          <w:p>
            <w:pPr>
              <w:pStyle w:val="TableParagraph"/>
              <w:spacing w:before="20" w:after="20" w:line="220" w:lineRule="auto"/>
              <w:ind w:left="40"/>
              <w:jc w:val="left"/>
            </w:pPr>
            <w:r>
              <w:rPr>
                <w:i w:val="0"/>
                <w:iCs w:val="0"/>
                <w:sz w:val="17"/>
                <w:szCs w:val="17"/>
              </w:rPr>
              <w:t xml:space="preserve">reglas operativas y ranking</w:t>
            </w:r>
          </w:p>
        </w:tc>
      </w:tr>
    </w:tbl>
    <w:p>
      <w:pPr>
        <w:pStyle w:val="BodyText"/>
        <w:spacing w:before="20" w:line="264" w:lineRule="auto"/>
        <w:ind w:left="170" w:right="120"/>
        <w:jc w:val="both"/>
      </w:pPr>
    </w:p>
    <w:p>
      <w:pPr>
        <w:pStyle w:val="Heading3"/>
        <w:numPr>
          <w:ilvl w:val="2"/>
          <w:numId w:val="2"/>
        </w:numPr>
        <w:tabs>
          <w:tab w:val="left" w:pos="840"/>
        </w:tabs>
        <w:spacing w:before="240"/>
        <w:ind w:left="840" w:hanging="670"/>
      </w:pPr>
      <w:r>
        <w:t xml:space="preserve">Recompra observable: evidencia complementaria</w:t>
      </w:r>
    </w:p>
    <w:p>
      <w:pPr>
        <w:pStyle w:val="BodyText"/>
        <w:spacing w:before="90" w:line="264" w:lineRule="auto"/>
        <w:ind w:left="170" w:right="120"/>
        <w:jc w:val="both"/>
      </w:pPr>
      <w:r>
        <w:rPr>
          <w:i w:val="0"/>
          <w:iCs w:val="0"/>
          <w:sz w:val="20"/>
          <w:szCs w:val="20"/>
        </w:rPr>
        <w:t xml:space="preserve">Aunque el target es la retención de service, el dataset permite observar recompra Ranger→Ranger: el customer_id persiste entre ventas y entre ventas y agenda. 12.239 ventas de 2024-26 (20,6 %) son de compradores que ya usaban otra Ranger, entregada al menos un año antes y vista en la agenda antes de comprar (6.192 compradores, 4.389 personas físicas). De 33.391 dueños de Ranger anteriores a 2024 vistos en la agenda en el primer semestre de 2024, el 6,4 % compró una Ranger 0 km dentro de los 12 meses y el 11,2 % dentro de 24. Con esos positivos se puede entrenar un segundo modelo, complementario, que mida el vínculo service–recompra que motiva el desafío (sección 5).</w:t>
      </w:r>
    </w:p>
    <w:p>
      <w:pPr>
        <w:pStyle w:val="Heading3"/>
        <w:numPr>
          <w:ilvl w:val="2"/>
          <w:numId w:val="2"/>
        </w:numPr>
        <w:tabs>
          <w:tab w:val="left" w:pos="840"/>
        </w:tabs>
        <w:spacing w:before="240"/>
        <w:ind w:left="840" w:hanging="670"/>
      </w:pPr>
      <w:r>
        <w:t xml:space="preserve">Reproducibilidad</w:t>
      </w:r>
    </w:p>
    <w:p>
      <w:pPr>
        <w:pStyle w:val="BodyText"/>
        <w:spacing w:before="90" w:line="264" w:lineRule="auto"/>
        <w:ind w:left="170" w:right="120"/>
        <w:jc w:val="both"/>
      </w:pPr>
      <w:r>
        <w:rPr>
          <w:i w:val="0"/>
          <w:iCs w:val="0"/>
          <w:sz w:val="20"/>
          <w:szCs w:val="20"/>
        </w:rPr>
        <w:t xml:space="preserve">Todo el trabajo corre con un comando (scripts/run_pipeline.py) en unos tres minutos: carga y tipado de los CSV, consolidación de la agenda a nivel turno, construcción de ventanas y target, features, entrenamiento, calibración, evaluación temporal, SHAP, segmentos, ROI y scoring de la población actual. Los parámetros de ventana y de negocio están en archivos de configuración; los análisis exploratorios, la sensibilidad de la ventana, las ablaciones y la comparación con la solución independiente son scripts propios. Tres notebooks ejecutados sirven de evidencia técnica y un dashboard permite operar la bandeja. Entorno: Python 3.12, pandas, scikit-learn, LightGBM, SHAP, Streamlit.</w:t>
      </w:r>
    </w:p>
    <w:p w14:paraId="6FAF701C" w14:textId="77777777" w:rsidR="00905D92" w:rsidRDefault="003534B0">
      <w:pPr>
        <w:pStyle w:val="Heading3"/>
        <w:numPr>
          <w:ilvl w:val="2"/>
          <w:numId w:val="2"/>
        </w:numPr>
        <w:tabs>
          <w:tab w:val="left" w:pos="840"/>
        </w:tabs>
        <w:ind w:left="840" w:hanging="670"/>
      </w:pPr>
      <w:bookmarkStart w:id="10" w:name="Información_Complementaria"/>
      <w:bookmarkStart w:id="11" w:name="_bookmark5"/>
      <w:bookmarkEnd w:id="10"/>
      <w:bookmarkEnd w:id="11"/>
      <w:r>
        <w:rPr>
          <w:spacing w:val="-7"/>
        </w:rPr>
        <w:t>Información</w:t>
      </w:r>
      <w:r>
        <w:rPr>
          <w:spacing w:val="23"/>
        </w:rPr>
        <w:t xml:space="preserve"> </w:t>
      </w:r>
      <w:r>
        <w:rPr>
          <w:spacing w:val="-2"/>
        </w:rPr>
        <w:t>Complementaria</w:t>
      </w:r>
    </w:p>
    <w:p>
      <w:pPr>
        <w:pStyle w:val="BodyText"/>
        <w:spacing w:before="90" w:line="264" w:lineRule="auto"/>
        <w:ind w:left="170" w:right="120"/>
        <w:jc w:val="both"/>
      </w:pPr>
      <w:r>
        <w:rPr>
          <w:i w:val="0"/>
          <w:iCs w:val="0"/>
          <w:sz w:val="20"/>
          <w:szCs w:val="20"/>
        </w:rPr>
        <w:t xml:space="preserve">En el .zip que acompaña este informe se adjuntan los entregables que no caben en el documento:</w:t>
      </w:r>
    </w:p>
    <w:p>
      <w:pPr>
        <w:pStyle w:val="ListParagraph"/>
        <w:numPr>
          <w:ilvl w:val="0"/>
          <w:numId w:val="4"/>
        </w:numPr>
        <w:spacing w:before="50" w:line="259" w:lineRule="auto"/>
        <w:ind w:left="560" w:right="120" w:hanging="220"/>
        <w:jc w:val="both"/>
      </w:pPr>
      <w:r>
        <w:rPr>
          <w:b/>
          <w:bCs/>
          <w:i w:val="0"/>
          <w:iCs w:val="0"/>
          <w:sz w:val="20"/>
          <w:szCs w:val="20"/>
        </w:rPr>
        <w:t xml:space="preserve">Dataset analítico documentado y definición reproducible del target</w:t>
      </w:r>
      <w:r>
        <w:rPr>
          <w:i w:val="0"/>
          <w:iCs w:val="0"/>
          <w:sz w:val="20"/>
          <w:szCs w:val="20"/>
        </w:rPr>
        <w:t xml:space="preserve">: config/params.json, src/repurchase/ventanas.py, docs/01_hallazgos_eda.md y docs/02_decisiones_y_descartes.md.</w:t>
      </w:r>
    </w:p>
    <w:p>
      <w:pPr>
        <w:pStyle w:val="ListParagraph"/>
        <w:numPr>
          <w:ilvl w:val="0"/>
          <w:numId w:val="4"/>
        </w:numPr>
        <w:spacing w:before="50" w:line="259" w:lineRule="auto"/>
        <w:ind w:left="560" w:right="120" w:hanging="220"/>
        <w:jc w:val="both"/>
      </w:pPr>
      <w:r>
        <w:rPr>
          <w:b/>
          <w:bCs/>
          <w:i w:val="0"/>
          <w:iCs w:val="0"/>
          <w:sz w:val="20"/>
          <w:szCs w:val="20"/>
        </w:rPr>
        <w:t xml:space="preserve">Pipeline de features, modelo entrenado y evaluación temporal</w:t>
      </w:r>
      <w:r>
        <w:rPr>
          <w:i w:val="0"/>
          <w:iCs w:val="0"/>
          <w:sz w:val="20"/>
          <w:szCs w:val="20"/>
        </w:rPr>
        <w:t xml:space="preserve">: src/repurchase/, scripts/run_pipeline.py, data/models/ (modelo, calibrador, métricas), reports/modelo/ (resumen de la corrida, lift por decil, calibración, ROI, sensibilidad, ablaciones).</w:t>
      </w:r>
    </w:p>
    <w:p>
      <w:pPr>
        <w:pStyle w:val="ListParagraph"/>
        <w:numPr>
          <w:ilvl w:val="0"/>
          <w:numId w:val="4"/>
        </w:numPr>
        <w:spacing w:before="50" w:line="259" w:lineRule="auto"/>
        <w:ind w:left="560" w:right="120" w:hanging="220"/>
        <w:jc w:val="both"/>
      </w:pPr>
      <w:r>
        <w:rPr>
          <w:b/>
          <w:bCs/>
          <w:i w:val="0"/>
          <w:iCs w:val="0"/>
          <w:sz w:val="20"/>
          <w:szCs w:val="20"/>
        </w:rPr>
        <w:t xml:space="preserve">Explicación global e individual</w:t>
      </w:r>
      <w:r>
        <w:rPr>
          <w:i w:val="0"/>
          <w:iCs w:val="0"/>
          <w:sz w:val="20"/>
          <w:szCs w:val="20"/>
        </w:rPr>
        <w:t xml:space="preserve">: reports/figures/modelo/shap_global.png y los drivers por vehículo en el ranking.</w:t>
      </w:r>
    </w:p>
    <w:p>
      <w:pPr>
        <w:pStyle w:val="ListParagraph"/>
        <w:numPr>
          <w:ilvl w:val="0"/>
          <w:numId w:val="4"/>
        </w:numPr>
        <w:spacing w:before="50" w:line="259" w:lineRule="auto"/>
        <w:ind w:left="560" w:right="120" w:hanging="220"/>
        <w:jc w:val="both"/>
      </w:pPr>
      <w:r>
        <w:rPr>
          <w:b/>
          <w:bCs/>
          <w:i w:val="0"/>
          <w:iCs w:val="0"/>
          <w:sz w:val="20"/>
          <w:szCs w:val="20"/>
        </w:rPr>
        <w:t xml:space="preserve">Ranking priorizado</w:t>
      </w:r>
      <w:r>
        <w:rPr>
          <w:i w:val="0"/>
          <w:iCs w:val="0"/>
          <w:sz w:val="20"/>
          <w:szCs w:val="20"/>
        </w:rPr>
        <w:t xml:space="preserve">: data/processed/scores_actuales.csv (30.504 vehículos con el output mínimo de la ficha) y la vista consolidada por usuario.</w:t>
      </w:r>
    </w:p>
    <w:p>
      <w:pPr>
        <w:pStyle w:val="ListParagraph"/>
        <w:numPr>
          <w:ilvl w:val="0"/>
          <w:numId w:val="4"/>
        </w:numPr>
        <w:spacing w:before="50" w:line="259" w:lineRule="auto"/>
        <w:ind w:left="560" w:right="120" w:hanging="220"/>
        <w:jc w:val="both"/>
      </w:pPr>
      <w:r>
        <w:rPr>
          <w:b/>
          <w:bCs/>
          <w:i w:val="0"/>
          <w:iCs w:val="0"/>
          <w:sz w:val="20"/>
          <w:szCs w:val="20"/>
        </w:rPr>
        <w:t xml:space="preserve">Propuesta de activación y demo</w:t>
      </w:r>
      <w:r>
        <w:rPr>
          <w:i w:val="0"/>
          <w:iCs w:val="0"/>
          <w:sz w:val="20"/>
          <w:szCs w:val="20"/>
        </w:rPr>
        <w:t xml:space="preserve">: app/app.py (dashboard Streamlit con bandeja, ficha por vehículo, vista por usuario y por concesionario) y docs/03_pitch_trials_day.md.</w:t>
      </w:r>
    </w:p>
    <w:p>
      <w:pPr>
        <w:pStyle w:val="ListParagraph"/>
        <w:numPr>
          <w:ilvl w:val="0"/>
          <w:numId w:val="4"/>
        </w:numPr>
        <w:spacing w:before="50" w:line="259" w:lineRule="auto"/>
        <w:ind w:left="560" w:right="120" w:hanging="220"/>
        <w:jc w:val="both"/>
      </w:pPr>
      <w:r>
        <w:rPr>
          <w:b/>
          <w:bCs/>
          <w:i w:val="0"/>
          <w:iCs w:val="0"/>
          <w:sz w:val="20"/>
          <w:szCs w:val="20"/>
        </w:rPr>
        <w:t xml:space="preserve">Evidencia</w:t>
      </w:r>
      <w:r>
        <w:rPr>
          <w:i w:val="0"/>
          <w:iCs w:val="0"/>
          <w:sz w:val="20"/>
          <w:szCs w:val="20"/>
        </w:rPr>
        <w:t xml:space="preserve">: reports/eda/ (seis análisis con verificación independiente), notebooks/ (tres notebooks ejecutados), reports/revision_cruzada/ (comparación con la solución independiente y su verificación).</w:t>
      </w:r>
    </w:p>
    <w:p>
      <w:pPr>
        <w:pStyle w:val="BodyText"/>
        <w:spacing w:before="90" w:line="264" w:lineRule="auto"/>
        <w:ind w:left="170" w:right="120"/>
        <w:jc w:val="both"/>
      </w:pPr>
      <w:r>
        <w:rPr>
          <w:i w:val="0"/>
          <w:iCs w:val="0"/>
          <w:sz w:val="20"/>
          <w:szCs w:val="20"/>
        </w:rPr>
        <w:t xml:space="preserve">Figuras adicionales disponibles en reports/figures/: curvas del primer service de la cohorte 2024, precisión-recall, segmentos, distribución de intervalos, tasa de uso, estacionalidad, identidad y flotas, censura a la izquierda y snapshot de conectividad.</w:t>
      </w:r>
    </w:p>
    <w:p w14:paraId="6FAF701F" w14:textId="1489BFAE" w:rsidR="00905D92" w:rsidRDefault="003534B0">
      <w:pPr>
        <w:pStyle w:val="Heading2"/>
        <w:numPr>
          <w:ilvl w:val="1"/>
          <w:numId w:val="2"/>
        </w:numPr>
        <w:tabs>
          <w:tab w:val="left" w:pos="615"/>
        </w:tabs>
        <w:spacing w:before="293"/>
        <w:ind w:left="615" w:hanging="445"/>
      </w:pPr>
      <w:bookmarkStart w:id="12" w:name="Seguridad_y_Ergonomía"/>
      <w:bookmarkStart w:id="13" w:name="_bookmark6"/>
      <w:bookmarkEnd w:id="12"/>
      <w:bookmarkEnd w:id="13"/>
      <w:r>
        <w:rPr>
          <w:w w:val="105"/>
        </w:rPr>
        <w:t>Seguridad</w:t>
      </w:r>
      <w:r>
        <w:rPr>
          <w:spacing w:val="23"/>
          <w:w w:val="105"/>
        </w:rPr>
        <w:t xml:space="preserve"> </w:t>
      </w:r>
      <w:r w:rsidR="00EF56AB">
        <w:rPr>
          <w:spacing w:val="23"/>
          <w:w w:val="105"/>
        </w:rPr>
        <w:t>y Privacidad</w:t>
      </w:r>
    </w:p>
    <w:p>
      <w:pPr>
        <w:pStyle w:val="BodyText"/>
        <w:spacing w:before="90" w:line="264" w:lineRule="auto"/>
        <w:ind w:left="170" w:right="120"/>
        <w:jc w:val="both"/>
      </w:pPr>
      <w:r>
        <w:rPr>
          <w:i w:val="0"/>
          <w:iCs w:val="0"/>
          <w:sz w:val="20"/>
          <w:szCs w:val="20"/>
        </w:rPr>
        <w:t xml:space="preserve">La solución no introduce un riesgo de ciberseguridad nuevo: corre dentro del entorno analítico que Ford ya opera (GCP BigQuery y Python), no expone endpoints externos, no envía datos a servicios de terceros y no utiliza modelos generativos ni texto libre para calcular el riesgo. El análisis se hizo contra los marcos de referencia habituales: la </w:t>
      </w:r>
      <w:r>
        <w:rPr>
          <w:b/>
          <w:bCs/>
          <w:i w:val="0"/>
          <w:iCs w:val="0"/>
          <w:sz w:val="20"/>
          <w:szCs w:val="20"/>
        </w:rPr>
        <w:t xml:space="preserve">Ley 25.326 de Protección de Datos Personales</w:t>
      </w:r>
      <w:r>
        <w:rPr>
          <w:i w:val="0"/>
          <w:iCs w:val="0"/>
          <w:sz w:val="20"/>
          <w:szCs w:val="20"/>
        </w:rPr>
        <w:t xml:space="preserve"> y su autoridad de aplicación (AAIP), </w:t>
      </w:r>
      <w:r>
        <w:rPr>
          <w:b/>
          <w:bCs/>
          <w:i w:val="0"/>
          <w:iCs w:val="0"/>
          <w:sz w:val="20"/>
          <w:szCs w:val="20"/>
        </w:rPr>
        <w:t xml:space="preserve">ISO/IEC 27001</w:t>
      </w:r>
      <w:r>
        <w:rPr>
          <w:i w:val="0"/>
          <w:iCs w:val="0"/>
          <w:sz w:val="20"/>
          <w:szCs w:val="20"/>
        </w:rPr>
        <w:t xml:space="preserve"> (gestión de seguridad de la información), </w:t>
      </w:r>
      <w:r>
        <w:rPr>
          <w:b/>
          <w:bCs/>
          <w:i w:val="0"/>
          <w:iCs w:val="0"/>
          <w:sz w:val="20"/>
          <w:szCs w:val="20"/>
        </w:rPr>
        <w:t xml:space="preserve">NIST Cybersecurity Framework 2.0</w:t>
      </w:r>
      <w:r>
        <w:rPr>
          <w:i w:val="0"/>
          <w:iCs w:val="0"/>
          <w:sz w:val="20"/>
          <w:szCs w:val="20"/>
        </w:rPr>
        <w:t xml:space="preserve"> y </w:t>
      </w:r>
      <w:r>
        <w:rPr>
          <w:b/>
          <w:bCs/>
          <w:i w:val="0"/>
          <w:iCs w:val="0"/>
          <w:sz w:val="20"/>
          <w:szCs w:val="20"/>
        </w:rPr>
        <w:t xml:space="preserve">NIST AI Risk Management Framework</w:t>
      </w:r>
      <w:r>
        <w:rPr>
          <w:i w:val="0"/>
          <w:iCs w:val="0"/>
          <w:sz w:val="20"/>
          <w:szCs w:val="20"/>
        </w:rPr>
        <w:t xml:space="preserve"> (riesgos específicos de sistemas de IA), y las listas de riesgos de OWASP para machine learning.</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2300"/>
        <w:gridCol w:w="2300"/>
        <w:gridCol w:w="4000"/>
      </w:tblGrid>
      <w:tr>
        <w:trPr>
          <w:cantSplit/>
          <w:tblHeader/>
        </w:trPr>
        <w:tc>
          <w:tcPr>
            <w:tcW w:w="2300" w:type="dxa"/>
            <w:shd w:val="clear" w:color="auto" w:fill="EDEDED"/>
          </w:tcPr>
          <w:p>
            <w:pPr>
              <w:pStyle w:val="TableParagraph"/>
              <w:spacing w:before="20" w:after="20" w:line="220" w:lineRule="auto"/>
              <w:ind w:left="40"/>
              <w:jc w:val="left"/>
            </w:pPr>
            <w:r>
              <w:rPr>
                <w:b/>
                <w:bCs/>
                <w:i w:val="0"/>
                <w:iCs w:val="0"/>
                <w:sz w:val="17"/>
                <w:szCs w:val="17"/>
              </w:rPr>
              <w:t xml:space="preserve">Riesgo</w:t>
            </w:r>
          </w:p>
        </w:tc>
        <w:tc>
          <w:tcPr>
            <w:tcW w:w="2300" w:type="dxa"/>
            <w:shd w:val="clear" w:color="auto" w:fill="EDEDED"/>
          </w:tcPr>
          <w:p>
            <w:pPr>
              <w:pStyle w:val="TableParagraph"/>
              <w:spacing w:before="20" w:after="20" w:line="220" w:lineRule="auto"/>
              <w:ind w:left="40"/>
              <w:jc w:val="left"/>
            </w:pPr>
            <w:r>
              <w:rPr>
                <w:b/>
                <w:bCs/>
                <w:i w:val="0"/>
                <w:iCs w:val="0"/>
                <w:sz w:val="17"/>
                <w:szCs w:val="17"/>
              </w:rPr>
              <w:t xml:space="preserve">Evaluación</w:t>
            </w:r>
          </w:p>
        </w:tc>
        <w:tc>
          <w:tcPr>
            <w:tcW w:w="4000" w:type="dxa"/>
            <w:shd w:val="clear" w:color="auto" w:fill="EDEDED"/>
          </w:tcPr>
          <w:p>
            <w:pPr>
              <w:pStyle w:val="TableParagraph"/>
              <w:spacing w:before="20" w:after="20" w:line="220" w:lineRule="auto"/>
              <w:ind w:left="40"/>
              <w:jc w:val="left"/>
            </w:pPr>
            <w:r>
              <w:rPr>
                <w:b/>
                <w:bCs/>
                <w:i w:val="0"/>
                <w:iCs w:val="0"/>
                <w:sz w:val="17"/>
                <w:szCs w:val="17"/>
              </w:rPr>
              <w:t xml:space="preserve">Mitigación</w:t>
            </w:r>
          </w:p>
        </w:tc>
      </w:tr>
      <w:tr>
        <w:trPr>
          <w:cantSplit/>
        </w:trPr>
        <w:tc>
          <w:tcPr>
            <w:tcW w:w="2300" w:type="dxa"/>
          </w:tcPr>
          <w:p>
            <w:pPr>
              <w:pStyle w:val="TableParagraph"/>
              <w:spacing w:before="20" w:after="20" w:line="220" w:lineRule="auto"/>
              <w:ind w:left="40"/>
              <w:jc w:val="left"/>
            </w:pPr>
            <w:r>
              <w:rPr>
                <w:i w:val="0"/>
                <w:iCs w:val="0"/>
                <w:sz w:val="17"/>
                <w:szCs w:val="17"/>
              </w:rPr>
              <w:t xml:space="preserve">Reidentificación de personas a partir de los IDs</w:t>
            </w:r>
          </w:p>
        </w:tc>
        <w:tc>
          <w:tcPr>
            <w:tcW w:w="2300" w:type="dxa"/>
          </w:tcPr>
          <w:p>
            <w:pPr>
              <w:pStyle w:val="TableParagraph"/>
              <w:spacing w:before="20" w:after="20" w:line="220" w:lineRule="auto"/>
              <w:ind w:left="40"/>
              <w:jc w:val="left"/>
            </w:pPr>
            <w:r>
              <w:rPr>
                <w:i w:val="0"/>
                <w:iCs w:val="0"/>
                <w:sz w:val="17"/>
                <w:szCs w:val="17"/>
              </w:rPr>
              <w:t xml:space="preserve">Bajo. Los datos llegan seudonimizados con hash salado cuyo salt no se comparte; no hay VIN, documento, nombre, contacto, patente ni dealer real.</w:t>
            </w:r>
          </w:p>
        </w:tc>
        <w:tc>
          <w:tcPr>
            <w:tcW w:w="4000" w:type="dxa"/>
          </w:tcPr>
          <w:p>
            <w:pPr>
              <w:pStyle w:val="TableParagraph"/>
              <w:spacing w:before="20" w:after="20" w:line="220" w:lineRule="auto"/>
              <w:ind w:left="40"/>
              <w:jc w:val="left"/>
            </w:pPr>
            <w:r>
              <w:rPr>
                <w:i w:val="0"/>
                <w:iCs w:val="0"/>
                <w:sz w:val="17"/>
                <w:szCs w:val="17"/>
              </w:rPr>
              <w:t xml:space="preserve">El pipeline nunca intenta desanonimizar; el output usa los mismos IDs seudonimizados y la resolución a un contacto real ocurre sólo dentro del CRM de Ford, con control de acceso.</w:t>
            </w:r>
          </w:p>
        </w:tc>
      </w:tr>
      <w:tr>
        <w:trPr>
          <w:cantSplit/>
        </w:trPr>
        <w:tc>
          <w:tcPr>
            <w:tcW w:w="2300" w:type="dxa"/>
          </w:tcPr>
          <w:p>
            <w:pPr>
              <w:pStyle w:val="TableParagraph"/>
              <w:spacing w:before="20" w:after="20" w:line="220" w:lineRule="auto"/>
              <w:ind w:left="40"/>
              <w:jc w:val="left"/>
            </w:pPr>
            <w:r>
              <w:rPr>
                <w:i w:val="0"/>
                <w:iCs w:val="0"/>
                <w:sz w:val="17"/>
                <w:szCs w:val="17"/>
              </w:rPr>
              <w:t xml:space="preserve">Fuga o difusión de los extractos</w:t>
            </w:r>
          </w:p>
        </w:tc>
        <w:tc>
          <w:tcPr>
            <w:tcW w:w="2300" w:type="dxa"/>
          </w:tcPr>
          <w:p>
            <w:pPr>
              <w:pStyle w:val="TableParagraph"/>
              <w:spacing w:before="20" w:after="20" w:line="220" w:lineRule="auto"/>
              <w:ind w:left="40"/>
              <w:jc w:val="left"/>
            </w:pPr>
            <w:r>
              <w:rPr>
                <w:i w:val="0"/>
                <w:iCs w:val="0"/>
                <w:sz w:val="17"/>
                <w:szCs w:val="17"/>
              </w:rPr>
              <w:t xml:space="preserve">Medio si se copian fuera del entorno.</w:t>
            </w:r>
          </w:p>
        </w:tc>
        <w:tc>
          <w:tcPr>
            <w:tcW w:w="4000" w:type="dxa"/>
          </w:tcPr>
          <w:p>
            <w:pPr>
              <w:pStyle w:val="TableParagraph"/>
              <w:spacing w:before="20" w:after="20" w:line="220" w:lineRule="auto"/>
              <w:ind w:left="40"/>
              <w:jc w:val="left"/>
            </w:pPr>
            <w:r>
              <w:rPr>
                <w:i w:val="0"/>
                <w:iCs w:val="0"/>
                <w:sz w:val="17"/>
                <w:szCs w:val="17"/>
              </w:rPr>
              <w:t xml:space="preserve">Los crudos son de sólo lectura y no se replican; los derivados con IDs quedan fuera del repositorio de código (.gitignore) y del PDF; la integridad de los crudos se verifica por hash; el .zip de entrega contiene sólo IDs seudonimizados y se comparte por los canales autorizados.</w:t>
            </w:r>
          </w:p>
        </w:tc>
      </w:tr>
      <w:tr>
        <w:trPr>
          <w:cantSplit/>
        </w:trPr>
        <w:tc>
          <w:tcPr>
            <w:tcW w:w="2300" w:type="dxa"/>
          </w:tcPr>
          <w:p>
            <w:pPr>
              <w:pStyle w:val="TableParagraph"/>
              <w:spacing w:before="20" w:after="20" w:line="220" w:lineRule="auto"/>
              <w:ind w:left="40"/>
              <w:jc w:val="left"/>
            </w:pPr>
            <w:r>
              <w:rPr>
                <w:i w:val="0"/>
                <w:iCs w:val="0"/>
                <w:sz w:val="17"/>
                <w:szCs w:val="17"/>
              </w:rPr>
              <w:t xml:space="preserve">Uso indebido de los scores (contactos no consentidos, discriminación)</w:t>
            </w:r>
          </w:p>
        </w:tc>
        <w:tc>
          <w:tcPr>
            <w:tcW w:w="2300" w:type="dxa"/>
          </w:tcPr>
          <w:p>
            <w:pPr>
              <w:pStyle w:val="TableParagraph"/>
              <w:spacing w:before="20" w:after="20" w:line="220" w:lineRule="auto"/>
              <w:ind w:left="40"/>
              <w:jc w:val="left"/>
            </w:pPr>
            <w:r>
              <w:rPr>
                <w:i w:val="0"/>
                <w:iCs w:val="0"/>
                <w:sz w:val="17"/>
                <w:szCs w:val="17"/>
              </w:rPr>
              <w:t xml:space="preserve">Medio.</w:t>
            </w:r>
          </w:p>
        </w:tc>
        <w:tc>
          <w:tcPr>
            <w:tcW w:w="4000" w:type="dxa"/>
          </w:tcPr>
          <w:p>
            <w:pPr>
              <w:pStyle w:val="TableParagraph"/>
              <w:spacing w:before="20" w:after="20" w:line="220" w:lineRule="auto"/>
              <w:ind w:left="40"/>
              <w:jc w:val="left"/>
            </w:pPr>
            <w:r>
              <w:rPr>
                <w:i w:val="0"/>
                <w:iCs w:val="0"/>
                <w:sz w:val="17"/>
                <w:szCs w:val="17"/>
              </w:rPr>
              <w:t xml:space="preserve">El score prioriza, no decide: antes de contactar, CRM valida consentimiento (Ley 25.326, art. 5), turnos vigentes e identidad; no se usan atributos protegidos; las acciones son comerciales y opcionales para el cliente; acceso por roles y registro de uso en BigQuery / Service Leads.</w:t>
            </w:r>
          </w:p>
        </w:tc>
      </w:tr>
      <w:tr>
        <w:trPr>
          <w:cantSplit/>
        </w:trPr>
        <w:tc>
          <w:tcPr>
            <w:tcW w:w="2300" w:type="dxa"/>
          </w:tcPr>
          <w:p>
            <w:pPr>
              <w:pStyle w:val="TableParagraph"/>
              <w:spacing w:before="20" w:after="20" w:line="220" w:lineRule="auto"/>
              <w:ind w:left="40"/>
              <w:jc w:val="left"/>
            </w:pPr>
            <w:r>
              <w:rPr>
                <w:i w:val="0"/>
                <w:iCs w:val="0"/>
                <w:sz w:val="17"/>
                <w:szCs w:val="17"/>
              </w:rPr>
              <w:t xml:space="preserve">Fuga temporal (features con información futura)</w:t>
            </w:r>
          </w:p>
        </w:tc>
        <w:tc>
          <w:tcPr>
            <w:tcW w:w="2300" w:type="dxa"/>
          </w:tcPr>
          <w:p>
            <w:pPr>
              <w:pStyle w:val="TableParagraph"/>
              <w:spacing w:before="20" w:after="20" w:line="220" w:lineRule="auto"/>
              <w:ind w:left="40"/>
              <w:jc w:val="left"/>
            </w:pPr>
            <w:r>
              <w:rPr>
                <w:i w:val="0"/>
                <w:iCs w:val="0"/>
                <w:sz w:val="17"/>
                <w:szCs w:val="17"/>
              </w:rPr>
              <w:t xml:space="preserve">Alto si no se controla; es el riesgo técnico principal del desafío.</w:t>
            </w:r>
          </w:p>
        </w:tc>
        <w:tc>
          <w:tcPr>
            <w:tcW w:w="4000" w:type="dxa"/>
          </w:tcPr>
          <w:p>
            <w:pPr>
              <w:pStyle w:val="TableParagraph"/>
              <w:spacing w:before="20" w:after="20" w:line="220" w:lineRule="auto"/>
              <w:ind w:left="40"/>
              <w:jc w:val="left"/>
            </w:pPr>
            <w:r>
              <w:rPr>
                <w:i w:val="0"/>
                <w:iCs w:val="0"/>
                <w:sz w:val="17"/>
                <w:szCs w:val="17"/>
              </w:rPr>
              <w:t xml:space="preserve">Features estrictamente anteriores al scoring; columnas snapshot (KM, conectividad) excluidas; ablaciones que demuestran el efecto; validación temporal con embargo y margen de censura.</w:t>
            </w:r>
          </w:p>
        </w:tc>
      </w:tr>
      <w:tr>
        <w:trPr>
          <w:cantSplit/>
        </w:trPr>
        <w:tc>
          <w:tcPr>
            <w:tcW w:w="2300" w:type="dxa"/>
          </w:tcPr>
          <w:p>
            <w:pPr>
              <w:pStyle w:val="TableParagraph"/>
              <w:spacing w:before="20" w:after="20" w:line="220" w:lineRule="auto"/>
              <w:ind w:left="40"/>
              <w:jc w:val="left"/>
            </w:pPr>
            <w:r>
              <w:rPr>
                <w:i w:val="0"/>
                <w:iCs w:val="0"/>
                <w:sz w:val="17"/>
                <w:szCs w:val="17"/>
              </w:rPr>
              <w:t xml:space="preserve">Deriva y degradación del modelo</w:t>
            </w:r>
          </w:p>
        </w:tc>
        <w:tc>
          <w:tcPr>
            <w:tcW w:w="2300" w:type="dxa"/>
          </w:tcPr>
          <w:p>
            <w:pPr>
              <w:pStyle w:val="TableParagraph"/>
              <w:spacing w:before="20" w:after="20" w:line="220" w:lineRule="auto"/>
              <w:ind w:left="40"/>
              <w:jc w:val="left"/>
            </w:pPr>
            <w:r>
              <w:rPr>
                <w:i w:val="0"/>
                <w:iCs w:val="0"/>
                <w:sz w:val="17"/>
                <w:szCs w:val="17"/>
              </w:rPr>
              <w:t xml:space="preserve">Medio: la composición del parque cambia mes a mes.</w:t>
            </w:r>
          </w:p>
        </w:tc>
        <w:tc>
          <w:tcPr>
            <w:tcW w:w="4000" w:type="dxa"/>
          </w:tcPr>
          <w:p>
            <w:pPr>
              <w:pStyle w:val="TableParagraph"/>
              <w:spacing w:before="20" w:after="20" w:line="220" w:lineRule="auto"/>
              <w:ind w:left="40"/>
              <w:jc w:val="left"/>
            </w:pPr>
            <w:r>
              <w:rPr>
                <w:i w:val="0"/>
                <w:iCs w:val="0"/>
                <w:sz w:val="17"/>
                <w:szCs w:val="17"/>
              </w:rPr>
              <w:t xml:space="preserve">Re-entrenamiento trimestral, monitoreo de churn por generación y de las features, umbral de rentabilidad revisable, regla de respaldo (priorización actual) si el score se degrada.</w:t>
            </w:r>
          </w:p>
        </w:tc>
      </w:tr>
      <w:tr>
        <w:trPr>
          <w:cantSplit/>
        </w:trPr>
        <w:tc>
          <w:tcPr>
            <w:tcW w:w="2300" w:type="dxa"/>
          </w:tcPr>
          <w:p>
            <w:pPr>
              <w:pStyle w:val="TableParagraph"/>
              <w:spacing w:before="20" w:after="20" w:line="220" w:lineRule="auto"/>
              <w:ind w:left="40"/>
              <w:jc w:val="left"/>
            </w:pPr>
            <w:r>
              <w:rPr>
                <w:i w:val="0"/>
                <w:iCs w:val="0"/>
                <w:sz w:val="17"/>
                <w:szCs w:val="17"/>
              </w:rPr>
              <w:t xml:space="preserve">Cadena de suministro de software</w:t>
            </w:r>
          </w:p>
        </w:tc>
        <w:tc>
          <w:tcPr>
            <w:tcW w:w="2300" w:type="dxa"/>
          </w:tcPr>
          <w:p>
            <w:pPr>
              <w:pStyle w:val="TableParagraph"/>
              <w:spacing w:before="20" w:after="20" w:line="220" w:lineRule="auto"/>
              <w:ind w:left="40"/>
              <w:jc w:val="left"/>
            </w:pPr>
            <w:r>
              <w:rPr>
                <w:i w:val="0"/>
                <w:iCs w:val="0"/>
                <w:sz w:val="17"/>
                <w:szCs w:val="17"/>
              </w:rPr>
              <w:t xml:space="preserve">Bajo.</w:t>
            </w:r>
          </w:p>
        </w:tc>
        <w:tc>
          <w:tcPr>
            <w:tcW w:w="4000" w:type="dxa"/>
          </w:tcPr>
          <w:p>
            <w:pPr>
              <w:pStyle w:val="TableParagraph"/>
              <w:spacing w:before="20" w:after="20" w:line="220" w:lineRule="auto"/>
              <w:ind w:left="40"/>
              <w:jc w:val="left"/>
            </w:pPr>
            <w:r>
              <w:rPr>
                <w:i w:val="0"/>
                <w:iCs w:val="0"/>
                <w:sz w:val="17"/>
                <w:szCs w:val="17"/>
              </w:rPr>
              <w:t xml:space="preserve">Dependencias abiertas y conocidas (pandas, scikit-learn, LightGBM, SHAP) con versiones fijadas; código revisable; sin componentes que salgan a internet en ejecución.</w:t>
            </w:r>
          </w:p>
        </w:tc>
      </w:tr>
      <w:tr>
        <w:trPr>
          <w:cantSplit/>
        </w:trPr>
        <w:tc>
          <w:tcPr>
            <w:tcW w:w="2300" w:type="dxa"/>
          </w:tcPr>
          <w:p>
            <w:pPr>
              <w:pStyle w:val="TableParagraph"/>
              <w:spacing w:before="20" w:after="20" w:line="220" w:lineRule="auto"/>
              <w:ind w:left="40"/>
              <w:jc w:val="left"/>
            </w:pPr>
            <w:r>
              <w:rPr>
                <w:i w:val="0"/>
                <w:iCs w:val="0"/>
                <w:sz w:val="17"/>
                <w:szCs w:val="17"/>
              </w:rPr>
              <w:t xml:space="preserve">Manipulación de datos de entrada (poisoning)</w:t>
            </w:r>
          </w:p>
        </w:tc>
        <w:tc>
          <w:tcPr>
            <w:tcW w:w="2300" w:type="dxa"/>
          </w:tcPr>
          <w:p>
            <w:pPr>
              <w:pStyle w:val="TableParagraph"/>
              <w:spacing w:before="20" w:after="20" w:line="220" w:lineRule="auto"/>
              <w:ind w:left="40"/>
              <w:jc w:val="left"/>
            </w:pPr>
            <w:r>
              <w:rPr>
                <w:i w:val="0"/>
                <w:iCs w:val="0"/>
                <w:sz w:val="17"/>
                <w:szCs w:val="17"/>
              </w:rPr>
              <w:t xml:space="preserve">Bajo: los datos provienen de sistemas transaccionales internos.</w:t>
            </w:r>
          </w:p>
        </w:tc>
        <w:tc>
          <w:tcPr>
            <w:tcW w:w="4000" w:type="dxa"/>
          </w:tcPr>
          <w:p>
            <w:pPr>
              <w:pStyle w:val="TableParagraph"/>
              <w:spacing w:before="20" w:after="20" w:line="220" w:lineRule="auto"/>
              <w:ind w:left="40"/>
              <w:jc w:val="left"/>
            </w:pPr>
            <w:r>
              <w:rPr>
                <w:i w:val="0"/>
                <w:iCs w:val="0"/>
                <w:sz w:val="17"/>
                <w:szCs w:val="17"/>
              </w:rPr>
              <w:t xml:space="preserve">Controles de calidad al cargar (duplicados exactos, odómetros absurdos, estados contradictorios) y comparación de hashes de origen.</w:t>
            </w:r>
          </w:p>
        </w:tc>
      </w:tr>
    </w:tbl>
    <w:p>
      <w:pPr>
        <w:pStyle w:val="BodyText"/>
        <w:spacing w:before="20" w:line="264" w:lineRule="auto"/>
        <w:ind w:left="170" w:right="120"/>
        <w:jc w:val="both"/>
      </w:pPr>
    </w:p>
    <w:p>
      <w:pPr>
        <w:pStyle w:val="BodyText"/>
        <w:spacing w:before="90" w:line="264" w:lineRule="auto"/>
        <w:ind w:left="170" w:right="120"/>
        <w:jc w:val="both"/>
      </w:pPr>
      <w:r>
        <w:rPr>
          <w:i w:val="0"/>
          <w:iCs w:val="0"/>
          <w:sz w:val="20"/>
          <w:szCs w:val="20"/>
        </w:rPr>
        <w:t xml:space="preserve">Ningún dato del challenge se envió a servicios externos durante el desarrollo; la asistencia de herramientas de IA se usó sobre código y documentación, y todos los resultados provienen de ejecutar código sobre los datos recibidos dentro del entorno autorizado.</w:t>
      </w:r>
    </w:p>
    <w:p>
      <w:r>
        <w:br w:type="page"/>
      </w:r>
    </w:p>
    <w:p w14:paraId="6FAF7022" w14:textId="77777777" w:rsidR="00905D92" w:rsidRDefault="003534B0">
      <w:pPr>
        <w:pStyle w:val="Heading1"/>
        <w:numPr>
          <w:ilvl w:val="0"/>
          <w:numId w:val="2"/>
        </w:numPr>
        <w:tabs>
          <w:tab w:val="left" w:pos="378"/>
          <w:tab w:val="left" w:pos="8901"/>
        </w:tabs>
        <w:ind w:left="378" w:hanging="208"/>
        <w:rPr>
          <w:u w:val="none"/>
        </w:rPr>
      </w:pPr>
      <w:bookmarkStart w:id="14" w:name="Factibilidad_Económica"/>
      <w:bookmarkStart w:id="15" w:name="_bookmark7"/>
      <w:bookmarkEnd w:id="14"/>
      <w:bookmarkEnd w:id="15"/>
      <w:r>
        <w:rPr>
          <w:spacing w:val="61"/>
          <w:w w:val="105"/>
        </w:rPr>
        <w:t xml:space="preserve"> </w:t>
      </w:r>
      <w:r>
        <w:rPr>
          <w:w w:val="105"/>
        </w:rPr>
        <w:t>Factibilidad</w:t>
      </w:r>
      <w:r>
        <w:rPr>
          <w:spacing w:val="20"/>
          <w:w w:val="105"/>
        </w:rPr>
        <w:t xml:space="preserve"> </w:t>
      </w:r>
      <w:r>
        <w:rPr>
          <w:spacing w:val="-2"/>
          <w:w w:val="105"/>
        </w:rPr>
        <w:t>Económica</w:t>
      </w:r>
      <w:r>
        <w:tab/>
      </w:r>
    </w:p>
    <w:p>
      <w:pPr>
        <w:pStyle w:val="BodyText"/>
        <w:spacing w:before="90" w:line="264" w:lineRule="auto"/>
        <w:ind w:left="170" w:right="120"/>
        <w:jc w:val="both"/>
      </w:pPr>
      <w:r>
        <w:rPr>
          <w:b/>
          <w:bCs/>
          <w:i w:val="0"/>
          <w:iCs w:val="0"/>
          <w:sz w:val="20"/>
          <w:szCs w:val="20"/>
        </w:rPr>
        <w:t xml:space="preserve">Herramientas.</w:t>
      </w:r>
      <w:r>
        <w:rPr>
          <w:i w:val="0"/>
          <w:iCs w:val="0"/>
          <w:sz w:val="20"/>
          <w:szCs w:val="20"/>
        </w:rPr>
        <w:t xml:space="preserve"> La solución no requiere adquirir software: usa BigQuery (ya en uso en Ford como fuente analítica), Python con librerías de código abierto (pandas, scikit-learn, LightGBM, SHAP, Streamlit) y los canales de consumo existentes (Service Leads, Service Reminder, FordPass). El cómputo mensual es marginal: la población en ventana es de unos 30.000 vehículos y el pipeline completo corre en minutos en una máquina virtual chica.</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4300"/>
        <w:gridCol w:w="2100"/>
        <w:gridCol w:w="2200"/>
      </w:tblGrid>
      <w:tr>
        <w:trPr>
          <w:cantSplit/>
          <w:tblHeader/>
        </w:trPr>
        <w:tc>
          <w:tcPr>
            <w:tcW w:w="4300" w:type="dxa"/>
            <w:shd w:val="clear" w:color="auto" w:fill="EDEDED"/>
          </w:tcPr>
          <w:p>
            <w:pPr>
              <w:pStyle w:val="TableParagraph"/>
              <w:spacing w:before="20" w:after="20" w:line="220" w:lineRule="auto"/>
              <w:ind w:left="40"/>
              <w:jc w:val="left"/>
            </w:pPr>
            <w:r>
              <w:rPr>
                <w:b/>
                <w:bCs/>
                <w:i w:val="0"/>
                <w:iCs w:val="0"/>
                <w:sz w:val="17"/>
                <w:szCs w:val="17"/>
              </w:rPr>
              <w:t xml:space="preserve">Concepto</w:t>
            </w:r>
          </w:p>
        </w:tc>
        <w:tc>
          <w:tcPr>
            <w:tcW w:w="2100" w:type="dxa"/>
            <w:shd w:val="clear" w:color="auto" w:fill="EDEDED"/>
          </w:tcPr>
          <w:p>
            <w:pPr>
              <w:pStyle w:val="TableParagraph"/>
              <w:spacing w:before="20" w:after="20" w:line="220" w:lineRule="auto"/>
              <w:ind w:left="40"/>
              <w:jc w:val="left"/>
            </w:pPr>
            <w:r>
              <w:rPr>
                <w:b/>
                <w:bCs/>
                <w:i w:val="0"/>
                <w:iCs w:val="0"/>
                <w:sz w:val="17"/>
                <w:szCs w:val="17"/>
              </w:rPr>
              <w:t xml:space="preserve">Estimación (USD, supuestos)</w:t>
            </w:r>
          </w:p>
        </w:tc>
        <w:tc>
          <w:tcPr>
            <w:tcW w:w="2200" w:type="dxa"/>
            <w:shd w:val="clear" w:color="auto" w:fill="EDEDED"/>
          </w:tcPr>
          <w:p>
            <w:pPr>
              <w:pStyle w:val="TableParagraph"/>
              <w:spacing w:before="20" w:after="20" w:line="220" w:lineRule="auto"/>
              <w:ind w:left="40"/>
              <w:jc w:val="left"/>
            </w:pPr>
            <w:r>
              <w:rPr>
                <w:b/>
                <w:bCs/>
                <w:i w:val="0"/>
                <w:iCs w:val="0"/>
                <w:sz w:val="17"/>
                <w:szCs w:val="17"/>
              </w:rPr>
              <w:t xml:space="preserve">Naturaleza</w:t>
            </w:r>
          </w:p>
        </w:tc>
      </w:tr>
      <w:tr>
        <w:trPr>
          <w:cantSplit/>
        </w:trPr>
        <w:tc>
          <w:tcPr>
            <w:tcW w:w="4300" w:type="dxa"/>
          </w:tcPr>
          <w:p>
            <w:pPr>
              <w:pStyle w:val="TableParagraph"/>
              <w:spacing w:before="20" w:after="20" w:line="220" w:lineRule="auto"/>
              <w:ind w:left="40"/>
              <w:jc w:val="left"/>
            </w:pPr>
            <w:r>
              <w:rPr>
                <w:i w:val="0"/>
                <w:iCs w:val="0"/>
                <w:sz w:val="17"/>
                <w:szCs w:val="17"/>
              </w:rPr>
              <w:t xml:space="preserve">Integración del score a Service Leads / Reminder y a la vista de CRM (esquema del output, tabla en BigQuery, vista por usuario)</w:t>
            </w:r>
          </w:p>
        </w:tc>
        <w:tc>
          <w:tcPr>
            <w:tcW w:w="2100" w:type="dxa"/>
          </w:tcPr>
          <w:p>
            <w:pPr>
              <w:pStyle w:val="TableParagraph"/>
              <w:spacing w:before="20" w:after="20" w:line="220" w:lineRule="auto"/>
              <w:ind w:left="40"/>
              <w:jc w:val="left"/>
            </w:pPr>
            <w:r>
              <w:rPr>
                <w:i w:val="0"/>
                <w:iCs w:val="0"/>
                <w:sz w:val="17"/>
                <w:szCs w:val="17"/>
              </w:rPr>
              <w:t xml:space="preserve">15.000 a 25.000</w:t>
            </w:r>
          </w:p>
        </w:tc>
        <w:tc>
          <w:tcPr>
            <w:tcW w:w="2200" w:type="dxa"/>
          </w:tcPr>
          <w:p>
            <w:pPr>
              <w:pStyle w:val="TableParagraph"/>
              <w:spacing w:before="20" w:after="20" w:line="220" w:lineRule="auto"/>
              <w:ind w:left="40"/>
              <w:jc w:val="left"/>
            </w:pPr>
            <w:r>
              <w:rPr>
                <w:i w:val="0"/>
                <w:iCs w:val="0"/>
                <w:sz w:val="17"/>
                <w:szCs w:val="17"/>
              </w:rPr>
              <w:t xml:space="preserve">Una vez; 2 a 3 sprints de un ingeniero de datos con un analista de Posventa</w:t>
            </w:r>
          </w:p>
        </w:tc>
      </w:tr>
      <w:tr>
        <w:trPr>
          <w:cantSplit/>
        </w:trPr>
        <w:tc>
          <w:tcPr>
            <w:tcW w:w="4300" w:type="dxa"/>
          </w:tcPr>
          <w:p>
            <w:pPr>
              <w:pStyle w:val="TableParagraph"/>
              <w:spacing w:before="20" w:after="20" w:line="220" w:lineRule="auto"/>
              <w:ind w:left="40"/>
              <w:jc w:val="left"/>
            </w:pPr>
            <w:r>
              <w:rPr>
                <w:i w:val="0"/>
                <w:iCs w:val="0"/>
                <w:sz w:val="17"/>
                <w:szCs w:val="17"/>
              </w:rPr>
              <w:t xml:space="preserve">Cómputo y almacenamiento (BigQuery scheduled queries, VM para el lote mensual)</w:t>
            </w:r>
          </w:p>
        </w:tc>
        <w:tc>
          <w:tcPr>
            <w:tcW w:w="2100" w:type="dxa"/>
          </w:tcPr>
          <w:p>
            <w:pPr>
              <w:pStyle w:val="TableParagraph"/>
              <w:spacing w:before="20" w:after="20" w:line="220" w:lineRule="auto"/>
              <w:ind w:left="40"/>
              <w:jc w:val="left"/>
            </w:pPr>
            <w:r>
              <w:rPr>
                <w:i w:val="0"/>
                <w:iCs w:val="0"/>
                <w:sz w:val="17"/>
                <w:szCs w:val="17"/>
              </w:rPr>
              <w:t xml:space="preserve">500 a 1.500 por año</w:t>
            </w:r>
          </w:p>
        </w:tc>
        <w:tc>
          <w:tcPr>
            <w:tcW w:w="2200" w:type="dxa"/>
          </w:tcPr>
          <w:p>
            <w:pPr>
              <w:pStyle w:val="TableParagraph"/>
              <w:spacing w:before="20" w:after="20" w:line="220" w:lineRule="auto"/>
              <w:ind w:left="40"/>
              <w:jc w:val="left"/>
            </w:pPr>
            <w:r>
              <w:rPr>
                <w:i w:val="0"/>
                <w:iCs w:val="0"/>
                <w:sz w:val="17"/>
                <w:szCs w:val="17"/>
              </w:rPr>
              <w:t xml:space="preserve">Recurrente</w:t>
            </w:r>
          </w:p>
        </w:tc>
      </w:tr>
      <w:tr>
        <w:trPr>
          <w:cantSplit/>
        </w:trPr>
        <w:tc>
          <w:tcPr>
            <w:tcW w:w="4300" w:type="dxa"/>
          </w:tcPr>
          <w:p>
            <w:pPr>
              <w:pStyle w:val="TableParagraph"/>
              <w:spacing w:before="20" w:after="20" w:line="220" w:lineRule="auto"/>
              <w:ind w:left="40"/>
              <w:jc w:val="left"/>
            </w:pPr>
            <w:r>
              <w:rPr>
                <w:i w:val="0"/>
                <w:iCs w:val="0"/>
                <w:sz w:val="17"/>
                <w:szCs w:val="17"/>
              </w:rPr>
              <w:t xml:space="preserve">Mantenimiento: re-entrenamiento trimestral, monitoreo, ajuste de reglas</w:t>
            </w:r>
          </w:p>
        </w:tc>
        <w:tc>
          <w:tcPr>
            <w:tcW w:w="2100" w:type="dxa"/>
          </w:tcPr>
          <w:p>
            <w:pPr>
              <w:pStyle w:val="TableParagraph"/>
              <w:spacing w:before="20" w:after="20" w:line="220" w:lineRule="auto"/>
              <w:ind w:left="40"/>
              <w:jc w:val="left"/>
            </w:pPr>
            <w:r>
              <w:rPr>
                <w:i w:val="0"/>
                <w:iCs w:val="0"/>
                <w:sz w:val="17"/>
                <w:szCs w:val="17"/>
              </w:rPr>
              <w:t xml:space="preserve">12.000 a 18.000 por año (≈ 0,2 de un científico de datos)</w:t>
            </w:r>
          </w:p>
        </w:tc>
        <w:tc>
          <w:tcPr>
            <w:tcW w:w="2200" w:type="dxa"/>
          </w:tcPr>
          <w:p>
            <w:pPr>
              <w:pStyle w:val="TableParagraph"/>
              <w:spacing w:before="20" w:after="20" w:line="220" w:lineRule="auto"/>
              <w:ind w:left="40"/>
              <w:jc w:val="left"/>
            </w:pPr>
            <w:r>
              <w:rPr>
                <w:i w:val="0"/>
                <w:iCs w:val="0"/>
                <w:sz w:val="17"/>
                <w:szCs w:val="17"/>
              </w:rPr>
              <w:t xml:space="preserve">Recurrente</w:t>
            </w:r>
          </w:p>
        </w:tc>
      </w:tr>
      <w:tr>
        <w:trPr>
          <w:cantSplit/>
        </w:trPr>
        <w:tc>
          <w:tcPr>
            <w:tcW w:w="4300" w:type="dxa"/>
          </w:tcPr>
          <w:p>
            <w:pPr>
              <w:pStyle w:val="TableParagraph"/>
              <w:spacing w:before="20" w:after="20" w:line="220" w:lineRule="auto"/>
              <w:ind w:left="40"/>
              <w:jc w:val="left"/>
            </w:pPr>
            <w:r>
              <w:rPr>
                <w:i w:val="0"/>
                <w:iCs w:val="0"/>
                <w:sz w:val="17"/>
                <w:szCs w:val="17"/>
              </w:rPr>
              <w:t xml:space="preserve">Piloto de 90 días (contactos adicionales, ~3.000 por mes a USD 3)</w:t>
            </w:r>
          </w:p>
        </w:tc>
        <w:tc>
          <w:tcPr>
            <w:tcW w:w="2100" w:type="dxa"/>
          </w:tcPr>
          <w:p>
            <w:pPr>
              <w:pStyle w:val="TableParagraph"/>
              <w:spacing w:before="20" w:after="20" w:line="220" w:lineRule="auto"/>
              <w:ind w:left="40"/>
              <w:jc w:val="left"/>
            </w:pPr>
            <w:r>
              <w:rPr>
                <w:i w:val="0"/>
                <w:iCs w:val="0"/>
                <w:sz w:val="17"/>
                <w:szCs w:val="17"/>
              </w:rPr>
              <w:t xml:space="preserve">≈ 27.000</w:t>
            </w:r>
          </w:p>
        </w:tc>
        <w:tc>
          <w:tcPr>
            <w:tcW w:w="2200" w:type="dxa"/>
          </w:tcPr>
          <w:p>
            <w:pPr>
              <w:pStyle w:val="TableParagraph"/>
              <w:spacing w:before="20" w:after="20" w:line="220" w:lineRule="auto"/>
              <w:ind w:left="40"/>
              <w:jc w:val="left"/>
            </w:pPr>
            <w:r>
              <w:rPr>
                <w:i w:val="0"/>
                <w:iCs w:val="0"/>
                <w:sz w:val="17"/>
                <w:szCs w:val="17"/>
              </w:rPr>
              <w:t xml:space="preserve">Una vez, y es el costo que el modelo prioriza</w:t>
            </w:r>
          </w:p>
        </w:tc>
      </w:tr>
    </w:tbl>
    <w:p>
      <w:pPr>
        <w:pStyle w:val="BodyText"/>
        <w:spacing w:before="20" w:line="264" w:lineRule="auto"/>
        <w:ind w:left="170" w:right="120"/>
        <w:jc w:val="both"/>
      </w:pPr>
    </w:p>
    <w:p>
      <w:pPr>
        <w:pStyle w:val="BodyText"/>
        <w:spacing w:before="90" w:line="264" w:lineRule="auto"/>
        <w:ind w:left="170" w:right="120"/>
        <w:jc w:val="both"/>
      </w:pPr>
      <w:r>
        <w:rPr>
          <w:b/>
          <w:bCs/>
          <w:i w:val="0"/>
          <w:iCs w:val="0"/>
          <w:sz w:val="20"/>
          <w:szCs w:val="20"/>
        </w:rPr>
        <w:t xml:space="preserve">Beneficio.</w:t>
      </w:r>
      <w:r>
        <w:rPr>
          <w:i w:val="0"/>
          <w:iCs w:val="0"/>
          <w:sz w:val="20"/>
          <w:szCs w:val="20"/>
        </w:rPr>
        <w:t xml:space="preserve"> Supuestos declarados y editables (Ford los reemplaza por sus números): uplift del contacto 15 % (fracción de churners que un llamado con oferta recupera; referencia 10-25 %), valor de un service retenido USD 250 (margen del mantenimiento más valor futuro atribuible: siguientes services, repuestos fuera de garantía, lealtad), costo de un contacto humano USD 3.</w:t>
      </w:r>
    </w:p>
    <w:tbl>
      <w:tblPr>
        <w:tblW w:w="0" w:type="auto"/>
        <w:tblInd w:w="1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Pr>
      <w:tblGrid>
        <w:gridCol w:w="1300"/>
        <w:gridCol w:w="1400"/>
        <w:gridCol w:w="2300"/>
        <w:gridCol w:w="2100"/>
        <w:gridCol w:w="1500"/>
      </w:tblGrid>
      <w:tr>
        <w:trPr>
          <w:cantSplit/>
          <w:tblHeader/>
        </w:trPr>
        <w:tc>
          <w:tcPr>
            <w:tcW w:w="1300" w:type="dxa"/>
            <w:shd w:val="clear" w:color="auto" w:fill="EDEDED"/>
          </w:tcPr>
          <w:p>
            <w:pPr>
              <w:pStyle w:val="TableParagraph"/>
              <w:spacing w:before="20" w:after="20" w:line="220" w:lineRule="auto"/>
              <w:ind w:left="40"/>
              <w:jc w:val="left"/>
            </w:pPr>
            <w:r>
              <w:rPr>
                <w:b/>
                <w:bCs/>
                <w:i w:val="0"/>
                <w:iCs w:val="0"/>
                <w:sz w:val="17"/>
                <w:szCs w:val="17"/>
              </w:rPr>
              <w:t xml:space="preserve">Capacidad</w:t>
            </w:r>
          </w:p>
        </w:tc>
        <w:tc>
          <w:tcPr>
            <w:tcW w:w="1400" w:type="dxa"/>
            <w:shd w:val="clear" w:color="auto" w:fill="EDEDED"/>
          </w:tcPr>
          <w:p>
            <w:pPr>
              <w:pStyle w:val="TableParagraph"/>
              <w:spacing w:before="20" w:after="20" w:line="220" w:lineRule="auto"/>
              <w:ind w:left="40"/>
              <w:jc w:val="left"/>
            </w:pPr>
            <w:r>
              <w:rPr>
                <w:b/>
                <w:bCs/>
                <w:i w:val="0"/>
                <w:iCs w:val="0"/>
                <w:sz w:val="17"/>
                <w:szCs w:val="17"/>
              </w:rPr>
              <w:t xml:space="preserve">Contactos</w:t>
            </w:r>
          </w:p>
        </w:tc>
        <w:tc>
          <w:tcPr>
            <w:tcW w:w="2300" w:type="dxa"/>
            <w:shd w:val="clear" w:color="auto" w:fill="EDEDED"/>
          </w:tcPr>
          <w:p>
            <w:pPr>
              <w:pStyle w:val="TableParagraph"/>
              <w:spacing w:before="20" w:after="20" w:line="220" w:lineRule="auto"/>
              <w:ind w:left="40"/>
              <w:jc w:val="left"/>
            </w:pPr>
            <w:r>
              <w:rPr>
                <w:b/>
                <w:bCs/>
                <w:i w:val="0"/>
                <w:iCs w:val="0"/>
                <w:sz w:val="17"/>
                <w:szCs w:val="17"/>
              </w:rPr>
              <w:t xml:space="preserve">Services recuperados con modelo</w:t>
            </w:r>
          </w:p>
        </w:tc>
        <w:tc>
          <w:tcPr>
            <w:tcW w:w="2100" w:type="dxa"/>
            <w:shd w:val="clear" w:color="auto" w:fill="EDEDED"/>
          </w:tcPr>
          <w:p>
            <w:pPr>
              <w:pStyle w:val="TableParagraph"/>
              <w:spacing w:before="20" w:after="20" w:line="220" w:lineRule="auto"/>
              <w:ind w:left="40"/>
              <w:jc w:val="left"/>
            </w:pPr>
            <w:r>
              <w:rPr>
                <w:b/>
                <w:bCs/>
                <w:i w:val="0"/>
                <w:iCs w:val="0"/>
                <w:sz w:val="17"/>
                <w:szCs w:val="17"/>
              </w:rPr>
              <w:t xml:space="preserve">Con priorización uniforme</w:t>
            </w:r>
          </w:p>
        </w:tc>
        <w:tc>
          <w:tcPr>
            <w:tcW w:w="1500" w:type="dxa"/>
            <w:shd w:val="clear" w:color="auto" w:fill="EDEDED"/>
          </w:tcPr>
          <w:p>
            <w:pPr>
              <w:pStyle w:val="TableParagraph"/>
              <w:spacing w:before="20" w:after="20" w:line="220" w:lineRule="auto"/>
              <w:ind w:left="40"/>
              <w:jc w:val="left"/>
            </w:pPr>
            <w:r>
              <w:rPr>
                <w:b/>
                <w:bCs/>
                <w:i w:val="0"/>
                <w:iCs w:val="0"/>
                <w:sz w:val="17"/>
                <w:szCs w:val="17"/>
              </w:rPr>
              <w:t xml:space="preserve">Ganancia incremental</w:t>
            </w:r>
          </w:p>
        </w:tc>
      </w:tr>
      <w:tr>
        <w:trPr>
          <w:cantSplit/>
        </w:trPr>
        <w:tc>
          <w:tcPr>
            <w:tcW w:w="1300" w:type="dxa"/>
          </w:tcPr>
          <w:p>
            <w:pPr>
              <w:pStyle w:val="TableParagraph"/>
              <w:spacing w:before="20" w:after="20" w:line="220" w:lineRule="auto"/>
              <w:ind w:left="40"/>
              <w:jc w:val="left"/>
            </w:pPr>
            <w:r>
              <w:rPr>
                <w:i w:val="0"/>
                <w:iCs w:val="0"/>
                <w:sz w:val="17"/>
                <w:szCs w:val="17"/>
              </w:rPr>
              <w:t xml:space="preserve">10 %</w:t>
            </w:r>
          </w:p>
        </w:tc>
        <w:tc>
          <w:tcPr>
            <w:tcW w:w="1400" w:type="dxa"/>
          </w:tcPr>
          <w:p>
            <w:pPr>
              <w:pStyle w:val="TableParagraph"/>
              <w:spacing w:before="20" w:after="20" w:line="220" w:lineRule="auto"/>
              <w:ind w:left="40"/>
              <w:jc w:val="left"/>
            </w:pPr>
            <w:r>
              <w:rPr>
                <w:i w:val="0"/>
                <w:iCs w:val="0"/>
                <w:sz w:val="17"/>
                <w:szCs w:val="17"/>
              </w:rPr>
              <w:t xml:space="preserve">1.971</w:t>
            </w:r>
          </w:p>
        </w:tc>
        <w:tc>
          <w:tcPr>
            <w:tcW w:w="2300" w:type="dxa"/>
          </w:tcPr>
          <w:p>
            <w:pPr>
              <w:pStyle w:val="TableParagraph"/>
              <w:spacing w:before="20" w:after="20" w:line="220" w:lineRule="auto"/>
              <w:ind w:left="40"/>
              <w:jc w:val="left"/>
            </w:pPr>
            <w:r>
              <w:rPr>
                <w:i w:val="0"/>
                <w:iCs w:val="0"/>
                <w:sz w:val="17"/>
                <w:szCs w:val="17"/>
              </w:rPr>
              <w:t xml:space="preserve">261</w:t>
            </w:r>
          </w:p>
        </w:tc>
        <w:tc>
          <w:tcPr>
            <w:tcW w:w="2100" w:type="dxa"/>
          </w:tcPr>
          <w:p>
            <w:pPr>
              <w:pStyle w:val="TableParagraph"/>
              <w:spacing w:before="20" w:after="20" w:line="220" w:lineRule="auto"/>
              <w:ind w:left="40"/>
              <w:jc w:val="left"/>
            </w:pPr>
            <w:r>
              <w:rPr>
                <w:i w:val="0"/>
                <w:iCs w:val="0"/>
                <w:sz w:val="17"/>
                <w:szCs w:val="17"/>
              </w:rPr>
              <w:t xml:space="preserve">126</w:t>
            </w:r>
          </w:p>
        </w:tc>
        <w:tc>
          <w:tcPr>
            <w:tcW w:w="1500" w:type="dxa"/>
          </w:tcPr>
          <w:p>
            <w:pPr>
              <w:pStyle w:val="TableParagraph"/>
              <w:spacing w:before="20" w:after="20" w:line="220" w:lineRule="auto"/>
              <w:ind w:left="40"/>
              <w:jc w:val="left"/>
            </w:pPr>
            <w:r>
              <w:rPr>
                <w:i w:val="0"/>
                <w:iCs w:val="0"/>
                <w:sz w:val="17"/>
                <w:szCs w:val="17"/>
              </w:rPr>
              <w:t xml:space="preserve">+107 %</w:t>
            </w:r>
          </w:p>
        </w:tc>
      </w:tr>
      <w:tr>
        <w:trPr>
          <w:cantSplit/>
        </w:trPr>
        <w:tc>
          <w:tcPr>
            <w:tcW w:w="1300" w:type="dxa"/>
          </w:tcPr>
          <w:p>
            <w:pPr>
              <w:pStyle w:val="TableParagraph"/>
              <w:spacing w:before="20" w:after="20" w:line="220" w:lineRule="auto"/>
              <w:ind w:left="40"/>
              <w:jc w:val="left"/>
            </w:pPr>
            <w:r>
              <w:rPr>
                <w:b/>
                <w:bCs/>
                <w:i w:val="0"/>
                <w:iCs w:val="0"/>
                <w:sz w:val="17"/>
                <w:szCs w:val="17"/>
              </w:rPr>
              <w:t xml:space="preserve">20 %</w:t>
            </w:r>
          </w:p>
        </w:tc>
        <w:tc>
          <w:tcPr>
            <w:tcW w:w="1400" w:type="dxa"/>
          </w:tcPr>
          <w:p>
            <w:pPr>
              <w:pStyle w:val="TableParagraph"/>
              <w:spacing w:before="20" w:after="20" w:line="220" w:lineRule="auto"/>
              <w:ind w:left="40"/>
              <w:jc w:val="left"/>
            </w:pPr>
            <w:r>
              <w:rPr>
                <w:b/>
                <w:bCs/>
                <w:i w:val="0"/>
                <w:iCs w:val="0"/>
                <w:sz w:val="17"/>
                <w:szCs w:val="17"/>
              </w:rPr>
              <w:t xml:space="preserve">3.942</w:t>
            </w:r>
          </w:p>
        </w:tc>
        <w:tc>
          <w:tcPr>
            <w:tcW w:w="2300" w:type="dxa"/>
          </w:tcPr>
          <w:p>
            <w:pPr>
              <w:pStyle w:val="TableParagraph"/>
              <w:spacing w:before="20" w:after="20" w:line="220" w:lineRule="auto"/>
              <w:ind w:left="40"/>
              <w:jc w:val="left"/>
            </w:pPr>
            <w:r>
              <w:rPr>
                <w:b/>
                <w:bCs/>
                <w:i w:val="0"/>
                <w:iCs w:val="0"/>
                <w:sz w:val="17"/>
                <w:szCs w:val="17"/>
              </w:rPr>
              <w:t xml:space="preserve">458</w:t>
            </w:r>
          </w:p>
        </w:tc>
        <w:tc>
          <w:tcPr>
            <w:tcW w:w="2100" w:type="dxa"/>
          </w:tcPr>
          <w:p>
            <w:pPr>
              <w:pStyle w:val="TableParagraph"/>
              <w:spacing w:before="20" w:after="20" w:line="220" w:lineRule="auto"/>
              <w:ind w:left="40"/>
              <w:jc w:val="left"/>
            </w:pPr>
            <w:r>
              <w:rPr>
                <w:b/>
                <w:bCs/>
                <w:i w:val="0"/>
                <w:iCs w:val="0"/>
                <w:sz w:val="17"/>
                <w:szCs w:val="17"/>
              </w:rPr>
              <w:t xml:space="preserve">252</w:t>
            </w:r>
          </w:p>
        </w:tc>
        <w:tc>
          <w:tcPr>
            <w:tcW w:w="1500" w:type="dxa"/>
          </w:tcPr>
          <w:p>
            <w:pPr>
              <w:pStyle w:val="TableParagraph"/>
              <w:spacing w:before="20" w:after="20" w:line="220" w:lineRule="auto"/>
              <w:ind w:left="40"/>
              <w:jc w:val="left"/>
            </w:pPr>
            <w:r>
              <w:rPr>
                <w:b/>
                <w:bCs/>
                <w:i w:val="0"/>
                <w:iCs w:val="0"/>
                <w:sz w:val="17"/>
                <w:szCs w:val="17"/>
              </w:rPr>
              <w:t xml:space="preserve">+82 %</w:t>
            </w:r>
          </w:p>
        </w:tc>
      </w:tr>
      <w:tr>
        <w:trPr>
          <w:cantSplit/>
        </w:trPr>
        <w:tc>
          <w:tcPr>
            <w:tcW w:w="1300" w:type="dxa"/>
          </w:tcPr>
          <w:p>
            <w:pPr>
              <w:pStyle w:val="TableParagraph"/>
              <w:spacing w:before="20" w:after="20" w:line="220" w:lineRule="auto"/>
              <w:ind w:left="40"/>
              <w:jc w:val="left"/>
            </w:pPr>
            <w:r>
              <w:rPr>
                <w:i w:val="0"/>
                <w:iCs w:val="0"/>
                <w:sz w:val="17"/>
                <w:szCs w:val="17"/>
              </w:rPr>
              <w:t xml:space="preserve">30 %</w:t>
            </w:r>
          </w:p>
        </w:tc>
        <w:tc>
          <w:tcPr>
            <w:tcW w:w="1400" w:type="dxa"/>
          </w:tcPr>
          <w:p>
            <w:pPr>
              <w:pStyle w:val="TableParagraph"/>
              <w:spacing w:before="20" w:after="20" w:line="220" w:lineRule="auto"/>
              <w:ind w:left="40"/>
              <w:jc w:val="left"/>
            </w:pPr>
            <w:r>
              <w:rPr>
                <w:i w:val="0"/>
                <w:iCs w:val="0"/>
                <w:sz w:val="17"/>
                <w:szCs w:val="17"/>
              </w:rPr>
              <w:t xml:space="preserve">5.913</w:t>
            </w:r>
          </w:p>
        </w:tc>
        <w:tc>
          <w:tcPr>
            <w:tcW w:w="2300" w:type="dxa"/>
          </w:tcPr>
          <w:p>
            <w:pPr>
              <w:pStyle w:val="TableParagraph"/>
              <w:spacing w:before="20" w:after="20" w:line="220" w:lineRule="auto"/>
              <w:ind w:left="40"/>
              <w:jc w:val="left"/>
            </w:pPr>
            <w:r>
              <w:rPr>
                <w:i w:val="0"/>
                <w:iCs w:val="0"/>
                <w:sz w:val="17"/>
                <w:szCs w:val="17"/>
              </w:rPr>
              <w:t xml:space="preserve">618</w:t>
            </w:r>
          </w:p>
        </w:tc>
        <w:tc>
          <w:tcPr>
            <w:tcW w:w="2100" w:type="dxa"/>
          </w:tcPr>
          <w:p>
            <w:pPr>
              <w:pStyle w:val="TableParagraph"/>
              <w:spacing w:before="20" w:after="20" w:line="220" w:lineRule="auto"/>
              <w:ind w:left="40"/>
              <w:jc w:val="left"/>
            </w:pPr>
            <w:r>
              <w:rPr>
                <w:i w:val="0"/>
                <w:iCs w:val="0"/>
                <w:sz w:val="17"/>
                <w:szCs w:val="17"/>
              </w:rPr>
              <w:t xml:space="preserve">378</w:t>
            </w:r>
          </w:p>
        </w:tc>
        <w:tc>
          <w:tcPr>
            <w:tcW w:w="1500" w:type="dxa"/>
          </w:tcPr>
          <w:p>
            <w:pPr>
              <w:pStyle w:val="TableParagraph"/>
              <w:spacing w:before="20" w:after="20" w:line="220" w:lineRule="auto"/>
              <w:ind w:left="40"/>
              <w:jc w:val="left"/>
            </w:pPr>
            <w:r>
              <w:rPr>
                <w:i w:val="0"/>
                <w:iCs w:val="0"/>
                <w:sz w:val="17"/>
                <w:szCs w:val="17"/>
              </w:rPr>
              <w:t xml:space="preserve">+63 %</w:t>
            </w:r>
          </w:p>
        </w:tc>
      </w:tr>
      <w:tr>
        <w:trPr>
          <w:cantSplit/>
        </w:trPr>
        <w:tc>
          <w:tcPr>
            <w:tcW w:w="1300" w:type="dxa"/>
          </w:tcPr>
          <w:p>
            <w:pPr>
              <w:pStyle w:val="TableParagraph"/>
              <w:spacing w:before="20" w:after="20" w:line="220" w:lineRule="auto"/>
              <w:ind w:left="40"/>
              <w:jc w:val="left"/>
            </w:pPr>
            <w:r>
              <w:rPr>
                <w:i w:val="0"/>
                <w:iCs w:val="0"/>
                <w:sz w:val="17"/>
                <w:szCs w:val="17"/>
              </w:rPr>
              <w:t xml:space="preserve">50 %</w:t>
            </w:r>
          </w:p>
        </w:tc>
        <w:tc>
          <w:tcPr>
            <w:tcW w:w="1400" w:type="dxa"/>
          </w:tcPr>
          <w:p>
            <w:pPr>
              <w:pStyle w:val="TableParagraph"/>
              <w:spacing w:before="20" w:after="20" w:line="220" w:lineRule="auto"/>
              <w:ind w:left="40"/>
              <w:jc w:val="left"/>
            </w:pPr>
            <w:r>
              <w:rPr>
                <w:i w:val="0"/>
                <w:iCs w:val="0"/>
                <w:sz w:val="17"/>
                <w:szCs w:val="17"/>
              </w:rPr>
              <w:t xml:space="preserve">9.854</w:t>
            </w:r>
          </w:p>
        </w:tc>
        <w:tc>
          <w:tcPr>
            <w:tcW w:w="2300" w:type="dxa"/>
          </w:tcPr>
          <w:p>
            <w:pPr>
              <w:pStyle w:val="TableParagraph"/>
              <w:spacing w:before="20" w:after="20" w:line="220" w:lineRule="auto"/>
              <w:ind w:left="40"/>
              <w:jc w:val="left"/>
            </w:pPr>
            <w:r>
              <w:rPr>
                <w:i w:val="0"/>
                <w:iCs w:val="0"/>
                <w:sz w:val="17"/>
                <w:szCs w:val="17"/>
              </w:rPr>
              <w:t xml:space="preserve">874</w:t>
            </w:r>
          </w:p>
        </w:tc>
        <w:tc>
          <w:tcPr>
            <w:tcW w:w="2100" w:type="dxa"/>
          </w:tcPr>
          <w:p>
            <w:pPr>
              <w:pStyle w:val="TableParagraph"/>
              <w:spacing w:before="20" w:after="20" w:line="220" w:lineRule="auto"/>
              <w:ind w:left="40"/>
              <w:jc w:val="left"/>
            </w:pPr>
            <w:r>
              <w:rPr>
                <w:i w:val="0"/>
                <w:iCs w:val="0"/>
                <w:sz w:val="17"/>
                <w:szCs w:val="17"/>
              </w:rPr>
              <w:t xml:space="preserve">630</w:t>
            </w:r>
          </w:p>
        </w:tc>
        <w:tc>
          <w:tcPr>
            <w:tcW w:w="1500" w:type="dxa"/>
          </w:tcPr>
          <w:p>
            <w:pPr>
              <w:pStyle w:val="TableParagraph"/>
              <w:spacing w:before="20" w:after="20" w:line="220" w:lineRule="auto"/>
              <w:ind w:left="40"/>
              <w:jc w:val="left"/>
            </w:pPr>
            <w:r>
              <w:rPr>
                <w:i w:val="0"/>
                <w:iCs w:val="0"/>
                <w:sz w:val="17"/>
                <w:szCs w:val="17"/>
              </w:rPr>
              <w:t xml:space="preserve">+39 %</w:t>
            </w:r>
          </w:p>
        </w:tc>
      </w:tr>
    </w:tbl>
    <w:p>
      <w:pPr>
        <w:pStyle w:val="BodyText"/>
        <w:spacing w:before="20" w:line="264" w:lineRule="auto"/>
        <w:ind w:left="170" w:right="120"/>
        <w:jc w:val="both"/>
      </w:pPr>
    </w:p>
    <w:p>
      <w:pPr>
        <w:pStyle w:val="BodyText"/>
        <w:spacing w:before="90" w:line="264" w:lineRule="auto"/>
        <w:ind w:left="170" w:right="120"/>
        <w:jc w:val="both"/>
      </w:pPr>
      <w:r>
        <w:rPr>
          <w:i w:val="0"/>
          <w:iCs w:val="0"/>
          <w:sz w:val="20"/>
          <w:szCs w:val="20"/>
        </w:rPr>
        <w:t xml:space="preserve">Sobre las 19.709 ventanas de los tres meses de test, contactar al 20 % con modelo en lugar de al azar vale unos USD 52.000 de margen incremental; anualizado, del orden de USD 200.000 con estos supuestos conservadores, sin contar el efecto sobre la recompra. Contra un costo del primer año de USD 30.000 a 45.000 más el piloto, la inversión se recupera en el primer trimestre de operación. El modelo sigue siendo rentable con un uplift del 5 % y un valor de USD 100 por service; el umbral de rentabilidad de un contacto humano es p ≥ 0,08, así que casi toda la población "vale" un recordatorio digital y sólo el segmento Alto justifica un llamado.</w:t>
      </w:r>
    </w:p>
    <w:p>
      <w:pPr>
        <w:pStyle w:val="BodyText"/>
        <w:spacing w:before="90" w:line="264" w:lineRule="auto"/>
        <w:ind w:left="170" w:right="120"/>
        <w:jc w:val="both"/>
      </w:pPr>
      <w:r>
        <w:rPr>
          <w:b/>
          <w:bCs/>
          <w:i w:val="0"/>
          <w:iCs w:val="0"/>
          <w:sz w:val="20"/>
          <w:szCs w:val="20"/>
        </w:rPr>
        <w:t xml:space="preserve">Cuánto cuesta equivocarse.</w:t>
      </w:r>
      <w:r>
        <w:rPr>
          <w:i w:val="0"/>
          <w:iCs w:val="0"/>
          <w:sz w:val="20"/>
          <w:szCs w:val="20"/>
        </w:rPr>
        <w:t xml:space="preserve"> Un falso positivo (contactar a quien iba a volver) cuesta un llamado y, si se ofrece un incentivo, subsidia un retorno orgánico: por eso el incentivo se prueba sólo si su contribución incremental supera su costo. Un falso negativo (no contactar a quien se va) cuesta el service y, acumulado, el cliente. La asimetría, cercana a 80 a 1 con estos supuestos, es la razón para contactar a todo el segmento Alto y no economizar llamados en la cola.</w:t>
      </w:r>
    </w:p>
    <w:p>
      <w:pPr>
        <w:pStyle w:val="BodyText"/>
        <w:spacing w:before="90" w:line="264" w:lineRule="auto"/>
        <w:ind w:left="170" w:right="120"/>
        <w:jc w:val="both"/>
      </w:pPr>
      <w:r>
        <w:rPr>
          <w:b/>
          <w:bCs/>
          <w:i w:val="0"/>
          <w:iCs w:val="0"/>
          <w:sz w:val="20"/>
          <w:szCs w:val="20"/>
        </w:rPr>
        <w:t xml:space="preserve">Cómo se mide.</w:t>
      </w:r>
      <w:r>
        <w:rPr>
          <w:i w:val="0"/>
          <w:iCs w:val="0"/>
          <w:sz w:val="20"/>
          <w:szCs w:val="20"/>
        </w:rPr>
        <w:t xml:space="preserve"> Piloto de 90 días: dentro de cada decil de riesgo, mitad de los clientes reciben la acción del segmento y mitad el proceso actual, con asignación aleatoria por cliente (todos sus vehículos en el mismo brazo) y estratificada por concesionario. Se mide mantenimiento completado a 30 y a 120 días por decil, acción, concesionario y mes. Con 6.000 a 7.000 ventanas por mes, un uplift de 5 puntos se detecta en dos meses.</w:t>
      </w:r>
    </w:p>
    <w:p>
      <w:r>
        <w:br w:type="page"/>
      </w:r>
    </w:p>
    <w:p w14:paraId="6FAF7026" w14:textId="77777777" w:rsidR="00905D92" w:rsidRDefault="003534B0">
      <w:pPr>
        <w:pStyle w:val="Heading1"/>
        <w:numPr>
          <w:ilvl w:val="0"/>
          <w:numId w:val="2"/>
        </w:numPr>
        <w:tabs>
          <w:tab w:val="left" w:pos="378"/>
          <w:tab w:val="left" w:pos="8901"/>
        </w:tabs>
        <w:ind w:left="378" w:hanging="208"/>
        <w:rPr>
          <w:u w:val="none"/>
        </w:rPr>
      </w:pPr>
      <w:bookmarkStart w:id="16" w:name="Valor_Diferencial_e_Innovación"/>
      <w:bookmarkStart w:id="17" w:name="_bookmark8"/>
      <w:bookmarkEnd w:id="16"/>
      <w:bookmarkEnd w:id="17"/>
      <w:r>
        <w:rPr>
          <w:spacing w:val="44"/>
          <w:w w:val="105"/>
        </w:rPr>
        <w:t xml:space="preserve"> </w:t>
      </w:r>
      <w:r>
        <w:rPr>
          <w:w w:val="105"/>
        </w:rPr>
        <w:t>Valor</w:t>
      </w:r>
      <w:r>
        <w:rPr>
          <w:spacing w:val="9"/>
          <w:w w:val="105"/>
        </w:rPr>
        <w:t xml:space="preserve"> </w:t>
      </w:r>
      <w:r>
        <w:rPr>
          <w:w w:val="105"/>
        </w:rPr>
        <w:t>Diferencial</w:t>
      </w:r>
      <w:r>
        <w:rPr>
          <w:spacing w:val="8"/>
          <w:w w:val="105"/>
        </w:rPr>
        <w:t xml:space="preserve"> </w:t>
      </w:r>
      <w:r>
        <w:rPr>
          <w:w w:val="105"/>
        </w:rPr>
        <w:t>e</w:t>
      </w:r>
      <w:r>
        <w:rPr>
          <w:spacing w:val="9"/>
          <w:w w:val="105"/>
        </w:rPr>
        <w:t xml:space="preserve"> </w:t>
      </w:r>
      <w:r>
        <w:rPr>
          <w:spacing w:val="-2"/>
          <w:w w:val="105"/>
        </w:rPr>
        <w:t>Innovación</w:t>
      </w:r>
      <w:r>
        <w:tab/>
      </w:r>
    </w:p>
    <w:p>
      <w:pPr>
        <w:pStyle w:val="BodyText"/>
        <w:spacing w:before="90" w:line="264" w:lineRule="auto"/>
        <w:ind w:left="170" w:right="120"/>
        <w:jc w:val="both"/>
      </w:pPr>
      <w:r>
        <w:rPr>
          <w:i w:val="0"/>
          <w:iCs w:val="0"/>
          <w:sz w:val="20"/>
          <w:szCs w:val="20"/>
        </w:rPr>
        <w:t xml:space="preserve">La innovación de esta propuesta no está en el algoritmo, que es el estándar de la industria, sino en cómo se definió el problema y en la evidencia con la que se sostiene:</w:t>
      </w:r>
    </w:p>
    <w:p>
      <w:pPr>
        <w:pStyle w:val="ListParagraph"/>
        <w:numPr>
          <w:ilvl w:val="0"/>
          <w:numId w:val="4"/>
        </w:numPr>
        <w:spacing w:before="50" w:line="259" w:lineRule="auto"/>
        <w:ind w:left="560" w:right="120" w:hanging="220"/>
        <w:jc w:val="both"/>
      </w:pPr>
      <w:r>
        <w:rPr>
          <w:b/>
          <w:bCs/>
          <w:i w:val="0"/>
          <w:iCs w:val="0"/>
          <w:sz w:val="20"/>
          <w:szCs w:val="20"/>
        </w:rPr>
        <w:t xml:space="preserve">Una ventana por vehículo derivada de los datos y validada contra el plan oficial.</w:t>
      </w:r>
      <w:r>
        <w:rPr>
          <w:i w:val="0"/>
          <w:iCs w:val="0"/>
          <w:sz w:val="20"/>
          <w:szCs w:val="20"/>
        </w:rPr>
        <w:t xml:space="preserve"> En lugar de una regla de calendario, cada vehículo tiene su vencimiento estimado por generación y ritmo de uso propio; la sensibilidad a 36 combinaciones de parámetros y el contraste con una solución independiente muestran que el horizonte es la decisión que más importa, y por qué.</w:t>
      </w:r>
    </w:p>
    <w:p>
      <w:pPr>
        <w:pStyle w:val="ListParagraph"/>
        <w:numPr>
          <w:ilvl w:val="0"/>
          <w:numId w:val="4"/>
        </w:numPr>
        <w:spacing w:before="50" w:line="259" w:lineRule="auto"/>
        <w:ind w:left="560" w:right="120" w:hanging="220"/>
        <w:jc w:val="both"/>
      </w:pPr>
      <w:r>
        <w:rPr>
          <w:b/>
          <w:bCs/>
          <w:i w:val="0"/>
          <w:iCs w:val="0"/>
          <w:sz w:val="20"/>
          <w:szCs w:val="20"/>
        </w:rPr>
        <w:t xml:space="preserve">Detección y demostración de dos fugas de información</w:t>
      </w:r>
      <w:r>
        <w:rPr>
          <w:i w:val="0"/>
          <w:iCs w:val="0"/>
          <w:sz w:val="20"/>
          <w:szCs w:val="20"/>
        </w:rPr>
        <w:t xml:space="preserve"> (KM y conectividad) que inflan el rendimiento aparente. Se cuantificó el efecto (0,813 vs 0,740 de ROC-AUC) y se muestra al jurado como evidencia de rigor, no como resultado.</w:t>
      </w:r>
    </w:p>
    <w:p>
      <w:pPr>
        <w:pStyle w:val="ListParagraph"/>
        <w:numPr>
          <w:ilvl w:val="0"/>
          <w:numId w:val="4"/>
        </w:numPr>
        <w:spacing w:before="50" w:line="259" w:lineRule="auto"/>
        <w:ind w:left="560" w:right="120" w:hanging="220"/>
        <w:jc w:val="both"/>
      </w:pPr>
      <w:r>
        <w:rPr>
          <w:b/>
          <w:bCs/>
          <w:i w:val="0"/>
          <w:iCs w:val="0"/>
          <w:sz w:val="20"/>
          <w:szCs w:val="20"/>
        </w:rPr>
        <w:t xml:space="preserve">Probabilidades calibradas y drivers en castellano por vehículo</w:t>
      </w:r>
      <w:r>
        <w:rPr>
          <w:i w:val="0"/>
          <w:iCs w:val="0"/>
          <w:sz w:val="20"/>
          <w:szCs w:val="20"/>
        </w:rPr>
        <w:t xml:space="preserve">, para que el asesor de service entienda por qué ese cliente está primero, con reglas operativas explícitas (turno ya agendado, días restantes, un contacto por usuario).</w:t>
      </w:r>
    </w:p>
    <w:p>
      <w:pPr>
        <w:pStyle w:val="ListParagraph"/>
        <w:numPr>
          <w:ilvl w:val="0"/>
          <w:numId w:val="4"/>
        </w:numPr>
        <w:spacing w:before="50" w:line="259" w:lineRule="auto"/>
        <w:ind w:left="560" w:right="120" w:hanging="220"/>
        <w:jc w:val="both"/>
      </w:pPr>
      <w:r>
        <w:rPr>
          <w:b/>
          <w:bCs/>
          <w:i w:val="0"/>
          <w:iCs w:val="0"/>
          <w:sz w:val="20"/>
          <w:szCs w:val="20"/>
        </w:rPr>
        <w:t xml:space="preserve">Hallazgos de negocio contraintuitivos con evidencia</w:t>
      </w:r>
      <w:r>
        <w:rPr>
          <w:i w:val="0"/>
          <w:iCs w:val="0"/>
          <w:sz w:val="20"/>
          <w:szCs w:val="20"/>
        </w:rPr>
        <w:t xml:space="preserve">: el plan es por kilómetros y no anual; el primer service concentra el churn; los no-shows sólo pesan junto con la cantidad de turnos; el concesionario es un driver estable y accionable; Ford ya tiene un incentivo por continuidad para comunicar.</w:t>
      </w:r>
    </w:p>
    <w:p>
      <w:pPr>
        <w:pStyle w:val="ListParagraph"/>
        <w:numPr>
          <w:ilvl w:val="0"/>
          <w:numId w:val="4"/>
        </w:numPr>
        <w:spacing w:before="50" w:line="259" w:lineRule="auto"/>
        <w:ind w:left="560" w:right="120" w:hanging="220"/>
        <w:jc w:val="both"/>
      </w:pPr>
      <w:r>
        <w:rPr>
          <w:b/>
          <w:bCs/>
          <w:i w:val="0"/>
          <w:iCs w:val="0"/>
          <w:sz w:val="20"/>
          <w:szCs w:val="20"/>
        </w:rPr>
        <w:t xml:space="preserve">Recompra medible dentro del dataset</w:t>
      </w:r>
      <w:r>
        <w:rPr>
          <w:i w:val="0"/>
          <w:iCs w:val="0"/>
          <w:sz w:val="20"/>
          <w:szCs w:val="20"/>
        </w:rPr>
        <w:t xml:space="preserve">, que abre un segundo modelo directo sobre el objetivo de largo plazo del desafío.</w:t>
      </w:r>
    </w:p>
    <w:p>
      <w:pPr>
        <w:pStyle w:val="ListParagraph"/>
        <w:numPr>
          <w:ilvl w:val="0"/>
          <w:numId w:val="4"/>
        </w:numPr>
        <w:spacing w:before="50" w:line="259" w:lineRule="auto"/>
        <w:ind w:left="560" w:right="120" w:hanging="220"/>
        <w:jc w:val="both"/>
      </w:pPr>
      <w:r>
        <w:rPr>
          <w:b/>
          <w:bCs/>
          <w:i w:val="0"/>
          <w:iCs w:val="0"/>
          <w:sz w:val="20"/>
          <w:szCs w:val="20"/>
        </w:rPr>
        <w:t xml:space="preserve">Verificación adversarial de todo el análisis</w:t>
      </w:r>
      <w:r>
        <w:rPr>
          <w:i w:val="0"/>
          <w:iCs w:val="0"/>
          <w:sz w:val="20"/>
          <w:szCs w:val="20"/>
        </w:rPr>
        <w:t xml:space="preserve">: cada informe fue recalculado por un revisor independiente con código propio; las afirmaciones que no resistieron se corrigieron y quedaron registradas. La revisión cruzada con la solución independiente se hizo con el mismo estándar.</w:t>
      </w:r>
    </w:p>
    <w:p>
      <w:r>
        <w:br w:type="page"/>
      </w:r>
    </w:p>
    <w:p w14:paraId="6FAF7030" w14:textId="77777777" w:rsidR="00905D92" w:rsidRDefault="003534B0">
      <w:pPr>
        <w:pStyle w:val="Heading1"/>
        <w:numPr>
          <w:ilvl w:val="0"/>
          <w:numId w:val="2"/>
        </w:numPr>
        <w:tabs>
          <w:tab w:val="left" w:pos="378"/>
          <w:tab w:val="left" w:pos="8901"/>
        </w:tabs>
        <w:ind w:left="378" w:hanging="208"/>
        <w:rPr>
          <w:u w:val="none"/>
        </w:rPr>
      </w:pPr>
      <w:bookmarkStart w:id="18" w:name="Trabajo_Futuro"/>
      <w:bookmarkStart w:id="19" w:name="_bookmark9"/>
      <w:bookmarkEnd w:id="18"/>
      <w:bookmarkEnd w:id="19"/>
      <w:r>
        <w:rPr>
          <w:spacing w:val="52"/>
          <w:w w:val="110"/>
        </w:rPr>
        <w:t xml:space="preserve"> </w:t>
      </w:r>
      <w:r>
        <w:rPr>
          <w:spacing w:val="-2"/>
          <w:w w:val="110"/>
        </w:rPr>
        <w:t>Trabajo</w:t>
      </w:r>
      <w:r>
        <w:rPr>
          <w:spacing w:val="13"/>
          <w:w w:val="110"/>
        </w:rPr>
        <w:t xml:space="preserve"> </w:t>
      </w:r>
      <w:r>
        <w:rPr>
          <w:spacing w:val="-2"/>
          <w:w w:val="110"/>
        </w:rPr>
        <w:t>Futuro</w:t>
      </w:r>
      <w:r>
        <w:tab/>
      </w:r>
    </w:p>
    <w:p>
      <w:pPr>
        <w:pStyle w:val="BodyText"/>
        <w:spacing w:before="90" w:line="264" w:lineRule="auto"/>
        <w:ind w:left="170" w:right="120"/>
        <w:jc w:val="both"/>
      </w:pPr>
      <w:r>
        <w:rPr>
          <w:b/>
          <w:bCs/>
          <w:i w:val="0"/>
          <w:iCs w:val="0"/>
          <w:sz w:val="20"/>
          <w:szCs w:val="20"/>
        </w:rPr>
        <w:t xml:space="preserve">Pasos para continuar.</w:t>
      </w:r>
      <w:r>
        <w:rPr>
          <w:i w:val="0"/>
          <w:iCs w:val="0"/>
          <w:sz w:val="20"/>
          <w:szCs w:val="20"/>
        </w:rPr>
        <w:t xml:space="preserve"> (1) Validar con Posventa las dos reglas que fijan el horizonte: con cuánta anticipación conviene contactar (−30 o −60 días) y cuántos días después del vencimiento Ford considera perdida la oportunidad (+60, +90 o +120). (2) Incorporar las exclusiones de identidad y el cupo por usuario al pipeline, tests automáticos de seguridad temporal y hashes de integridad de los datos de origen, e intervalos de confianza por bootstrap en la evaluación. (3) Validación prospectiva: congelar el modelo entrenado hasta marzo de 2026 y evaluarlo sobre las ventanas de abril a julio de 2026 sin volver a tocar definiciones; pedir un extracto nuevo para una segunda validación ciega. (4) Piloto aleatorizado de 90 días e integración a Service Leads y Service Reminder. (5) Kilometraje de telemetría de los vehículos conectados para individualizar la ventana del primer service, que hoy es imprecisa (±140 días) y es la que más churn concentra. (6) Segundo modelo de recompra Ranger→Ranger sobre los dueños activos, para medir el vínculo service–recompra. (7) Con los datos del piloto, un modelo de uplift que priorice a quién conviene contactar y no sólo a quién se va.</w:t>
      </w:r>
    </w:p>
    <w:p>
      <w:pPr>
        <w:pStyle w:val="BodyText"/>
        <w:spacing w:before="90" w:line="264" w:lineRule="auto"/>
        <w:ind w:left="170" w:right="120"/>
        <w:jc w:val="both"/>
      </w:pPr>
      <w:r>
        <w:rPr>
          <w:b/>
          <w:bCs/>
          <w:i w:val="0"/>
          <w:iCs w:val="0"/>
          <w:sz w:val="20"/>
          <w:szCs w:val="20"/>
        </w:rPr>
        <w:t xml:space="preserve">Replicabilidad.</w:t>
      </w:r>
      <w:r>
        <w:rPr>
          <w:i w:val="0"/>
          <w:iCs w:val="0"/>
          <w:sz w:val="20"/>
          <w:szCs w:val="20"/>
        </w:rPr>
        <w:t xml:space="preserve"> La solución depende sólo de dos tablas que Ford tiene para toda su gama y toda la región (ventas y agenda), de un plan de mantenimiento por modelo y de una tasa de uso por vehículo. Extenderla a otros modelos es cambiar el intervalo del plan en la configuración; extenderla a otro país, apuntar a las mismas tablas de BigQuery. El código está parametrizado, documentado y se ejecuta con un comando; los supuestos económicos están en un archivo aparte para que cada mercado ponga los suyos.</w:t>
      </w:r>
    </w:p>
    <w:p>
      <w:r>
        <w:br w:type="page"/>
      </w:r>
    </w:p>
    <w:p w14:paraId="6FAF7033" w14:textId="77777777" w:rsidR="00905D92" w:rsidRDefault="003534B0">
      <w:pPr>
        <w:pStyle w:val="Heading1"/>
        <w:numPr>
          <w:ilvl w:val="0"/>
          <w:numId w:val="2"/>
        </w:numPr>
        <w:tabs>
          <w:tab w:val="left" w:pos="378"/>
          <w:tab w:val="left" w:pos="8901"/>
        </w:tabs>
        <w:ind w:left="378" w:hanging="208"/>
        <w:rPr>
          <w:u w:val="none"/>
        </w:rPr>
      </w:pPr>
      <w:bookmarkStart w:id="20" w:name="Conclusiones"/>
      <w:bookmarkStart w:id="21" w:name="_bookmark10"/>
      <w:bookmarkEnd w:id="20"/>
      <w:bookmarkEnd w:id="21"/>
      <w:r>
        <w:rPr>
          <w:spacing w:val="74"/>
        </w:rPr>
        <w:t xml:space="preserve"> </w:t>
      </w:r>
      <w:r>
        <w:rPr>
          <w:spacing w:val="-2"/>
        </w:rPr>
        <w:t>Conclusiones</w:t>
      </w:r>
      <w:r>
        <w:tab/>
      </w:r>
    </w:p>
    <w:p>
      <w:pPr>
        <w:pStyle w:val="BodyText"/>
        <w:spacing w:before="90" w:line="264" w:lineRule="auto"/>
        <w:ind w:left="170" w:right="120"/>
        <w:jc w:val="both"/>
      </w:pPr>
      <w:r>
        <w:rPr>
          <w:i w:val="0"/>
          <w:iCs w:val="0"/>
          <w:sz w:val="20"/>
          <w:szCs w:val="20"/>
        </w:rPr>
        <w:t xml:space="preserve">Ford pierde cuatro de cada diez mantenimientos en ventana porque le habla igual a todos. Esta propuesta convierte la población elegible en una lista priorizada con probabilidad calibrada, segmento y explicación por vehículo, construida con una definición de ventana y target derivada de los datos y alineada con el plan oficial de mantenimiento. Evaluada fuera de tiempo, alcanza al 36 % de los churners con el 20 % de los contactos y al 65 % con 3.000 contactos por mes, con probabilidades que coinciden con la realidad observada.</w:t>
      </w:r>
    </w:p>
    <w:p>
      <w:pPr>
        <w:pStyle w:val="BodyText"/>
        <w:spacing w:before="90" w:line="264" w:lineRule="auto"/>
        <w:ind w:left="170" w:right="120"/>
        <w:jc w:val="both"/>
      </w:pPr>
      <w:r>
        <w:rPr>
          <w:i w:val="0"/>
          <w:iCs w:val="0"/>
          <w:sz w:val="20"/>
          <w:szCs w:val="20"/>
        </w:rPr>
        <w:t xml:space="preserve">El valor para Ford es operativo y medible: mejor uso de la capacidad de contacto de la red, más services completados, y un punto de contacto sostenido que protege la recompra. Los próximos pasos concretos son validar el horizonte con Posventa, integrar el score a Service Leads y Service Reminder, correr el piloto aleatorizado de 90 días y medir por decil, acción, concesionario y mes. Todo lo necesario para hacerlo está en el .zip adjunto y se reproduce con un comando.</w:t>
      </w:r>
    </w:p>
    <w:bookmarkEnd w:id="900"/>
    <w:sectPr w:rsidR="00905D92">
      <w:pgSz w:w="11910" w:h="16840"/>
      <w:pgMar w:top="1260" w:right="1559" w:bottom="1060" w:left="1417"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EE5BF" w14:textId="77777777" w:rsidR="00565B10" w:rsidRDefault="00565B10">
      <w:r>
        <w:separator/>
      </w:r>
    </w:p>
  </w:endnote>
  <w:endnote w:type="continuationSeparator" w:id="0">
    <w:p w14:paraId="7C3028B1" w14:textId="77777777" w:rsidR="00565B10" w:rsidRDefault="00565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293C" w14:textId="77777777" w:rsidR="00962384" w:rsidRDefault="009623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2FE03" w14:textId="77777777" w:rsidR="00962384" w:rsidRDefault="009623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FC72" w14:textId="77777777" w:rsidR="00962384" w:rsidRDefault="009623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7037" w14:textId="77777777" w:rsidR="00905D92" w:rsidRDefault="003534B0">
    <w:pPr>
      <w:pStyle w:val="BodyText"/>
      <w:spacing w:line="14" w:lineRule="auto"/>
      <w:rPr>
        <w:i w:val="0"/>
        <w:sz w:val="20"/>
      </w:rPr>
    </w:pPr>
    <w:r>
      <w:rPr>
        <w:i w:val="0"/>
        <w:noProof/>
        <w:sz w:val="20"/>
      </w:rPr>
      <mc:AlternateContent>
        <mc:Choice Requires="wps">
          <w:drawing>
            <wp:anchor distT="0" distB="0" distL="0" distR="0" simplePos="0" relativeHeight="487469568" behindDoc="1" locked="0" layoutInCell="1" allowOverlap="1" wp14:anchorId="6FAF7038" wp14:editId="6FAF7039">
              <wp:simplePos x="0" y="0"/>
              <wp:positionH relativeFrom="page">
                <wp:posOffset>3703802</wp:posOffset>
              </wp:positionH>
              <wp:positionV relativeFrom="page">
                <wp:posOffset>10002741</wp:posOffset>
              </wp:positionV>
              <wp:extent cx="158750" cy="2222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222250"/>
                      </a:xfrm>
                      <a:prstGeom prst="rect">
                        <a:avLst/>
                      </a:prstGeom>
                    </wps:spPr>
                    <wps:txbx>
                      <w:txbxContent>
                        <w:p w14:paraId="6FAF703A" w14:textId="77777777" w:rsidR="00905D92" w:rsidRDefault="003534B0">
                          <w:pPr>
                            <w:spacing w:before="3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FAF7038" id="_x0000_t202" coordsize="21600,21600" o:spt="202" path="m,l,21600r21600,l21600,xe">
              <v:stroke joinstyle="miter"/>
              <v:path gradientshapeok="t" o:connecttype="rect"/>
            </v:shapetype>
            <v:shape id="Textbox 2" o:spid="_x0000_s1026" type="#_x0000_t202" style="position:absolute;margin-left:291.65pt;margin-top:787.6pt;width:12.5pt;height:17.5pt;z-index:-158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40jwEAABoDAAAOAAAAZHJzL2Uyb0RvYy54bWysUttO4zAQfUfiHyy/05RKLChqirgItBJi&#10;kVg+wHXsJiL2mBm3Sf9+x27aruANkQdn7BmfOeeM59eD68TGILXgK3k+mUphvIa69atKvv19OLuS&#10;gqLyterAm0puDcnrxenJvA+lmUEDXW1QMIinsg+VbGIMZVGQboxTNIFgPCctoFORt7gqalQ9o7uu&#10;mE2nv4oesA4I2hDx6f0uKRcZ31qj4x9ryUTRVZK5xbxiXpdpLRZzVa5QhabVIw31DRZOtZ6bHqDu&#10;VVRije0XKNdqBAIbJxpcAda22mQNrOZ8+knNa6OCyVrYHAoHm+jnYPXz5jW8oIjDLQw8wCyCwhPo&#10;d2Jvij5QOdYkT6kkrk5CB4su/VmC4Ivs7fbgpxmi0Ant4urygjOaUzP+OE6Yx8sBKT4acCIFlUQe&#10;VyagNk8Ud6X7kpHLrn0iEoflwCUpXEK9ZQ09j7GS9LFWaKTofnv2Kc18H+A+WO4DjN0d5JeRpHi4&#10;WUewbe58xB078wAy9/GxpAn/v89Vxye9+AcAAP//AwBQSwMEFAAGAAgAAAAhAJGw9CLhAAAADQEA&#10;AA8AAABkcnMvZG93bnJldi54bWxMj8FOwzAQRO9I/IO1SNyo3VQJIcSpKgQnJEQaDhyd2E2sxusQ&#10;u234e5YTHHfmaXam3C5uZGczB+tRwnolgBnsvLbYS/hoXu5yYCEq1Gr0aCR8mwDb6vqqVIX2F6zN&#10;eR97RiEYCiVhiHEqOA/dYJwKKz8ZJO/gZ6cinXPP9awuFO5GngiRcacs0odBTeZpMN1xf3ISdp9Y&#10;P9uvt/a9PtS2aR4EvmZHKW9vlt0jsGiW+AfDb32qDhV1av0JdWCjhDTfbAglI71PE2CEZCInqSUp&#10;W4sEeFXy/yuqHwAAAP//AwBQSwECLQAUAAYACAAAACEAtoM4kv4AAADhAQAAEwAAAAAAAAAAAAAA&#10;AAAAAAAAW0NvbnRlbnRfVHlwZXNdLnhtbFBLAQItABQABgAIAAAAIQA4/SH/1gAAAJQBAAALAAAA&#10;AAAAAAAAAAAAAC8BAABfcmVscy8ucmVsc1BLAQItABQABgAIAAAAIQDKcW40jwEAABoDAAAOAAAA&#10;AAAAAAAAAAAAAC4CAABkcnMvZTJvRG9jLnhtbFBLAQItABQABgAIAAAAIQCRsPQi4QAAAA0BAAAP&#10;AAAAAAAAAAAAAAAAAOkDAABkcnMvZG93bnJldi54bWxQSwUGAAAAAAQABADzAAAA9wQAAAAA&#10;" filled="f" stroked="f">
              <v:textbox inset="0,0,0,0">
                <w:txbxContent>
                  <w:p w14:paraId="6FAF703A" w14:textId="77777777" w:rsidR="00905D92" w:rsidRDefault="003534B0">
                    <w:pPr>
                      <w:spacing w:before="35"/>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9B0C" w14:textId="77777777" w:rsidR="00565B10" w:rsidRDefault="00565B10">
      <w:r>
        <w:separator/>
      </w:r>
    </w:p>
  </w:footnote>
  <w:footnote w:type="continuationSeparator" w:id="0">
    <w:p w14:paraId="64C29D97" w14:textId="77777777" w:rsidR="00565B10" w:rsidRDefault="00565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2AEA6" w14:textId="77777777" w:rsidR="00962384" w:rsidRDefault="009623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1D57" w14:textId="77777777" w:rsidR="00962384" w:rsidRDefault="009623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F926" w14:textId="77777777" w:rsidR="00962384" w:rsidRDefault="009623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FAF70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6.75pt" o:bullet="t">
        <v:imagedata r:id="rId1" o:title="image2"/>
      </v:shape>
    </w:pict>
  </w:numPicBullet>
  <w:abstractNum w:abstractNumId="0" w15:restartNumberingAfterBreak="0">
    <w:nsid w:val="08F97467"/>
    <w:multiLevelType w:val="multilevel"/>
    <w:tmpl w:val="ACF2610E"/>
    <w:lvl w:ilvl="0">
      <w:start w:val="1"/>
      <w:numFmt w:val="decimal"/>
      <w:lvlText w:val="%1."/>
      <w:lvlJc w:val="left"/>
      <w:pPr>
        <w:ind w:left="514" w:hanging="344"/>
        <w:jc w:val="left"/>
      </w:pPr>
      <w:rPr>
        <w:rFonts w:ascii="Palatino Linotype" w:eastAsia="Palatino Linotype" w:hAnsi="Palatino Linotype" w:cs="Palatino Linotype" w:hint="default"/>
        <w:b/>
        <w:bCs/>
        <w:i w:val="0"/>
        <w:iCs w:val="0"/>
        <w:spacing w:val="-1"/>
        <w:w w:val="105"/>
        <w:sz w:val="24"/>
        <w:szCs w:val="24"/>
        <w:u w:val="single" w:color="000000"/>
        <w:lang w:val="es-ES" w:eastAsia="en-US" w:bidi="ar-SA"/>
      </w:rPr>
    </w:lvl>
    <w:lvl w:ilvl="1">
      <w:start w:val="1"/>
      <w:numFmt w:val="decimal"/>
      <w:lvlText w:val="%1.%2"/>
      <w:lvlJc w:val="left"/>
      <w:pPr>
        <w:ind w:left="616" w:hanging="446"/>
        <w:jc w:val="left"/>
      </w:pPr>
      <w:rPr>
        <w:rFonts w:ascii="Palatino Linotype" w:eastAsia="Palatino Linotype" w:hAnsi="Palatino Linotype" w:cs="Palatino Linotype" w:hint="default"/>
        <w:b/>
        <w:bCs/>
        <w:i w:val="0"/>
        <w:iCs w:val="0"/>
        <w:spacing w:val="0"/>
        <w:w w:val="116"/>
        <w:sz w:val="22"/>
        <w:szCs w:val="22"/>
        <w:lang w:val="es-ES" w:eastAsia="en-US" w:bidi="ar-SA"/>
      </w:rPr>
    </w:lvl>
    <w:lvl w:ilvl="2">
      <w:start w:val="1"/>
      <w:numFmt w:val="decimal"/>
      <w:lvlText w:val="%1.%2.%3"/>
      <w:lvlJc w:val="left"/>
      <w:pPr>
        <w:ind w:left="841" w:hanging="672"/>
        <w:jc w:val="left"/>
      </w:pPr>
      <w:rPr>
        <w:rFonts w:ascii="Georgia" w:eastAsia="Georgia" w:hAnsi="Georgia" w:cs="Georgia" w:hint="default"/>
        <w:b/>
        <w:bCs/>
        <w:i/>
        <w:iCs/>
        <w:spacing w:val="0"/>
        <w:w w:val="102"/>
        <w:sz w:val="22"/>
        <w:szCs w:val="22"/>
        <w:lang w:val="es-ES" w:eastAsia="en-US" w:bidi="ar-SA"/>
      </w:rPr>
    </w:lvl>
    <w:lvl w:ilvl="3">
      <w:numFmt w:val="bullet"/>
      <w:lvlText w:val="•"/>
      <w:lvlJc w:val="left"/>
      <w:pPr>
        <w:ind w:left="1851" w:hanging="672"/>
      </w:pPr>
      <w:rPr>
        <w:rFonts w:hint="default"/>
        <w:lang w:val="es-ES" w:eastAsia="en-US" w:bidi="ar-SA"/>
      </w:rPr>
    </w:lvl>
    <w:lvl w:ilvl="4">
      <w:numFmt w:val="bullet"/>
      <w:lvlText w:val="•"/>
      <w:lvlJc w:val="left"/>
      <w:pPr>
        <w:ind w:left="2862" w:hanging="672"/>
      </w:pPr>
      <w:rPr>
        <w:rFonts w:hint="default"/>
        <w:lang w:val="es-ES" w:eastAsia="en-US" w:bidi="ar-SA"/>
      </w:rPr>
    </w:lvl>
    <w:lvl w:ilvl="5">
      <w:numFmt w:val="bullet"/>
      <w:lvlText w:val="•"/>
      <w:lvlJc w:val="left"/>
      <w:pPr>
        <w:ind w:left="3873" w:hanging="672"/>
      </w:pPr>
      <w:rPr>
        <w:rFonts w:hint="default"/>
        <w:lang w:val="es-ES" w:eastAsia="en-US" w:bidi="ar-SA"/>
      </w:rPr>
    </w:lvl>
    <w:lvl w:ilvl="6">
      <w:numFmt w:val="bullet"/>
      <w:lvlText w:val="•"/>
      <w:lvlJc w:val="left"/>
      <w:pPr>
        <w:ind w:left="4884" w:hanging="672"/>
      </w:pPr>
      <w:rPr>
        <w:rFonts w:hint="default"/>
        <w:lang w:val="es-ES" w:eastAsia="en-US" w:bidi="ar-SA"/>
      </w:rPr>
    </w:lvl>
    <w:lvl w:ilvl="7">
      <w:numFmt w:val="bullet"/>
      <w:lvlText w:val="•"/>
      <w:lvlJc w:val="left"/>
      <w:pPr>
        <w:ind w:left="5895" w:hanging="672"/>
      </w:pPr>
      <w:rPr>
        <w:rFonts w:hint="default"/>
        <w:lang w:val="es-ES" w:eastAsia="en-US" w:bidi="ar-SA"/>
      </w:rPr>
    </w:lvl>
    <w:lvl w:ilvl="8">
      <w:numFmt w:val="bullet"/>
      <w:lvlText w:val="•"/>
      <w:lvlJc w:val="left"/>
      <w:pPr>
        <w:ind w:left="6907" w:hanging="672"/>
      </w:pPr>
      <w:rPr>
        <w:rFonts w:hint="default"/>
        <w:lang w:val="es-ES" w:eastAsia="en-US" w:bidi="ar-SA"/>
      </w:rPr>
    </w:lvl>
  </w:abstractNum>
  <w:abstractNum w:abstractNumId="1" w15:restartNumberingAfterBreak="0">
    <w:nsid w:val="37EA43B7"/>
    <w:multiLevelType w:val="multilevel"/>
    <w:tmpl w:val="B72A7BA4"/>
    <w:lvl w:ilvl="0">
      <w:start w:val="1"/>
      <w:numFmt w:val="decimal"/>
      <w:lvlText w:val="%1."/>
      <w:lvlJc w:val="left"/>
      <w:pPr>
        <w:ind w:left="497" w:hanging="328"/>
        <w:jc w:val="left"/>
      </w:pPr>
      <w:rPr>
        <w:rFonts w:ascii="Palatino Linotype" w:eastAsia="Palatino Linotype" w:hAnsi="Palatino Linotype" w:cs="Palatino Linotype" w:hint="default"/>
        <w:b/>
        <w:bCs/>
        <w:i w:val="0"/>
        <w:iCs w:val="0"/>
        <w:spacing w:val="0"/>
        <w:w w:val="118"/>
        <w:sz w:val="22"/>
        <w:szCs w:val="22"/>
        <w:lang w:val="es-ES" w:eastAsia="en-US" w:bidi="ar-SA"/>
      </w:rPr>
    </w:lvl>
    <w:lvl w:ilvl="1">
      <w:start w:val="1"/>
      <w:numFmt w:val="decimal"/>
      <w:lvlText w:val="%1.%2."/>
      <w:lvlJc w:val="left"/>
      <w:pPr>
        <w:ind w:left="999" w:hanging="502"/>
        <w:jc w:val="left"/>
      </w:pPr>
      <w:rPr>
        <w:rFonts w:ascii="Palatino Linotype" w:eastAsia="Palatino Linotype" w:hAnsi="Palatino Linotype" w:cs="Palatino Linotype" w:hint="default"/>
        <w:b w:val="0"/>
        <w:bCs w:val="0"/>
        <w:i w:val="0"/>
        <w:iCs w:val="0"/>
        <w:spacing w:val="-1"/>
        <w:w w:val="102"/>
        <w:sz w:val="22"/>
        <w:szCs w:val="22"/>
        <w:lang w:val="es-ES" w:eastAsia="en-US" w:bidi="ar-SA"/>
      </w:rPr>
    </w:lvl>
    <w:lvl w:ilvl="2">
      <w:start w:val="1"/>
      <w:numFmt w:val="decimal"/>
      <w:lvlText w:val="%1.%2.%3."/>
      <w:lvlJc w:val="left"/>
      <w:pPr>
        <w:ind w:left="1697" w:hanging="699"/>
        <w:jc w:val="left"/>
      </w:pPr>
      <w:rPr>
        <w:rFonts w:ascii="Palatino Linotype" w:eastAsia="Palatino Linotype" w:hAnsi="Palatino Linotype" w:cs="Palatino Linotype" w:hint="default"/>
        <w:b w:val="0"/>
        <w:bCs w:val="0"/>
        <w:i w:val="0"/>
        <w:iCs w:val="0"/>
        <w:spacing w:val="-1"/>
        <w:w w:val="102"/>
        <w:sz w:val="22"/>
        <w:szCs w:val="22"/>
        <w:lang w:val="es-ES" w:eastAsia="en-US" w:bidi="ar-SA"/>
      </w:rPr>
    </w:lvl>
    <w:lvl w:ilvl="3">
      <w:numFmt w:val="bullet"/>
      <w:lvlText w:val="•"/>
      <w:lvlJc w:val="left"/>
      <w:pPr>
        <w:ind w:left="2603" w:hanging="699"/>
      </w:pPr>
      <w:rPr>
        <w:rFonts w:hint="default"/>
        <w:lang w:val="es-ES" w:eastAsia="en-US" w:bidi="ar-SA"/>
      </w:rPr>
    </w:lvl>
    <w:lvl w:ilvl="4">
      <w:numFmt w:val="bullet"/>
      <w:lvlText w:val="•"/>
      <w:lvlJc w:val="left"/>
      <w:pPr>
        <w:ind w:left="3507" w:hanging="699"/>
      </w:pPr>
      <w:rPr>
        <w:rFonts w:hint="default"/>
        <w:lang w:val="es-ES" w:eastAsia="en-US" w:bidi="ar-SA"/>
      </w:rPr>
    </w:lvl>
    <w:lvl w:ilvl="5">
      <w:numFmt w:val="bullet"/>
      <w:lvlText w:val="•"/>
      <w:lvlJc w:val="left"/>
      <w:pPr>
        <w:ind w:left="4411" w:hanging="699"/>
      </w:pPr>
      <w:rPr>
        <w:rFonts w:hint="default"/>
        <w:lang w:val="es-ES" w:eastAsia="en-US" w:bidi="ar-SA"/>
      </w:rPr>
    </w:lvl>
    <w:lvl w:ilvl="6">
      <w:numFmt w:val="bullet"/>
      <w:lvlText w:val="•"/>
      <w:lvlJc w:val="left"/>
      <w:pPr>
        <w:ind w:left="5314" w:hanging="699"/>
      </w:pPr>
      <w:rPr>
        <w:rFonts w:hint="default"/>
        <w:lang w:val="es-ES" w:eastAsia="en-US" w:bidi="ar-SA"/>
      </w:rPr>
    </w:lvl>
    <w:lvl w:ilvl="7">
      <w:numFmt w:val="bullet"/>
      <w:lvlText w:val="•"/>
      <w:lvlJc w:val="left"/>
      <w:pPr>
        <w:ind w:left="6218" w:hanging="699"/>
      </w:pPr>
      <w:rPr>
        <w:rFonts w:hint="default"/>
        <w:lang w:val="es-ES" w:eastAsia="en-US" w:bidi="ar-SA"/>
      </w:rPr>
    </w:lvl>
    <w:lvl w:ilvl="8">
      <w:numFmt w:val="bullet"/>
      <w:lvlText w:val="•"/>
      <w:lvlJc w:val="left"/>
      <w:pPr>
        <w:ind w:left="7122" w:hanging="699"/>
      </w:pPr>
      <w:rPr>
        <w:rFonts w:hint="default"/>
        <w:lang w:val="es-ES" w:eastAsia="en-US" w:bidi="ar-SA"/>
      </w:rPr>
    </w:lvl>
  </w:abstractNum>
  <w:abstractNum w:abstractNumId="2" w15:restartNumberingAfterBreak="0">
    <w:nsid w:val="759F17D5"/>
    <w:multiLevelType w:val="hybridMultilevel"/>
    <w:tmpl w:val="15746DA6"/>
    <w:lvl w:ilvl="0" w:tplc="D2CC95C8">
      <w:numFmt w:val="bullet"/>
      <w:lvlText w:val="&amp;"/>
      <w:lvlPicBulletId w:val="0"/>
      <w:lvlJc w:val="left"/>
      <w:pPr>
        <w:ind w:left="703" w:hanging="187"/>
      </w:pPr>
      <w:rPr>
        <w:rFonts w:ascii="Times New Roman" w:eastAsia="Times New Roman" w:hAnsi="Times New Roman" w:cs="Times New Roman" w:hint="default"/>
        <w:b w:val="0"/>
        <w:bCs w:val="0"/>
        <w:i w:val="0"/>
        <w:iCs w:val="0"/>
        <w:w w:val="100"/>
        <w:position w:val="2"/>
        <w:sz w:val="11"/>
        <w:szCs w:val="11"/>
        <w:lang w:val="es-ES" w:eastAsia="en-US" w:bidi="ar-SA"/>
      </w:rPr>
    </w:lvl>
    <w:lvl w:ilvl="1" w:tplc="945C2028">
      <w:numFmt w:val="bullet"/>
      <w:lvlText w:val="•"/>
      <w:lvlJc w:val="left"/>
      <w:pPr>
        <w:ind w:left="1522" w:hanging="187"/>
      </w:pPr>
      <w:rPr>
        <w:rFonts w:hint="default"/>
        <w:lang w:val="es-ES" w:eastAsia="en-US" w:bidi="ar-SA"/>
      </w:rPr>
    </w:lvl>
    <w:lvl w:ilvl="2" w:tplc="ECBA36E2">
      <w:numFmt w:val="bullet"/>
      <w:lvlText w:val="•"/>
      <w:lvlJc w:val="left"/>
      <w:pPr>
        <w:ind w:left="2345" w:hanging="187"/>
      </w:pPr>
      <w:rPr>
        <w:rFonts w:hint="default"/>
        <w:lang w:val="es-ES" w:eastAsia="en-US" w:bidi="ar-SA"/>
      </w:rPr>
    </w:lvl>
    <w:lvl w:ilvl="3" w:tplc="F4ACEB4A">
      <w:numFmt w:val="bullet"/>
      <w:lvlText w:val="•"/>
      <w:lvlJc w:val="left"/>
      <w:pPr>
        <w:ind w:left="3168" w:hanging="187"/>
      </w:pPr>
      <w:rPr>
        <w:rFonts w:hint="default"/>
        <w:lang w:val="es-ES" w:eastAsia="en-US" w:bidi="ar-SA"/>
      </w:rPr>
    </w:lvl>
    <w:lvl w:ilvl="4" w:tplc="054C7ED0">
      <w:numFmt w:val="bullet"/>
      <w:lvlText w:val="•"/>
      <w:lvlJc w:val="left"/>
      <w:pPr>
        <w:ind w:left="3991" w:hanging="187"/>
      </w:pPr>
      <w:rPr>
        <w:rFonts w:hint="default"/>
        <w:lang w:val="es-ES" w:eastAsia="en-US" w:bidi="ar-SA"/>
      </w:rPr>
    </w:lvl>
    <w:lvl w:ilvl="5" w:tplc="7AB4BBB4">
      <w:numFmt w:val="bullet"/>
      <w:lvlText w:val="•"/>
      <w:lvlJc w:val="left"/>
      <w:pPr>
        <w:ind w:left="4814" w:hanging="187"/>
      </w:pPr>
      <w:rPr>
        <w:rFonts w:hint="default"/>
        <w:lang w:val="es-ES" w:eastAsia="en-US" w:bidi="ar-SA"/>
      </w:rPr>
    </w:lvl>
    <w:lvl w:ilvl="6" w:tplc="8AF68E32">
      <w:numFmt w:val="bullet"/>
      <w:lvlText w:val="•"/>
      <w:lvlJc w:val="left"/>
      <w:pPr>
        <w:ind w:left="5637" w:hanging="187"/>
      </w:pPr>
      <w:rPr>
        <w:rFonts w:hint="default"/>
        <w:lang w:val="es-ES" w:eastAsia="en-US" w:bidi="ar-SA"/>
      </w:rPr>
    </w:lvl>
    <w:lvl w:ilvl="7" w:tplc="B5808168">
      <w:numFmt w:val="bullet"/>
      <w:lvlText w:val="•"/>
      <w:lvlJc w:val="left"/>
      <w:pPr>
        <w:ind w:left="6460" w:hanging="187"/>
      </w:pPr>
      <w:rPr>
        <w:rFonts w:hint="default"/>
        <w:lang w:val="es-ES" w:eastAsia="en-US" w:bidi="ar-SA"/>
      </w:rPr>
    </w:lvl>
    <w:lvl w:ilvl="8" w:tplc="E52C48C8">
      <w:numFmt w:val="bullet"/>
      <w:lvlText w:val="•"/>
      <w:lvlJc w:val="left"/>
      <w:pPr>
        <w:ind w:left="7283" w:hanging="187"/>
      </w:pPr>
      <w:rPr>
        <w:rFonts w:hint="default"/>
        <w:lang w:val="es-ES" w:eastAsia="en-US" w:bidi="ar-SA"/>
      </w:rPr>
    </w:lvl>
  </w:abstractNum>
  <w:abstractNum w:abstractNumId="9">
    <w:multiLevelType w:val="hybridMultilevel"/>
    <w:lvl w:ilvl="0">
      <w:start w:val="1"/>
      <w:numFmt w:val="bullet"/>
      <w:lvlText w:val="•"/>
      <w:lvlJc w:val="left"/>
      <w:pPr>
        <w:ind w:left="560" w:hanging="220"/>
      </w:pPr>
      <w:rPr>
        <w:rFonts w:ascii="Palatino Linotype" w:hAnsi="Palatino Linotype"/>
      </w:rPr>
    </w:lvl>
  </w:abstractNum>
  <w:num w:numId="1" w16cid:durableId="1075861875">
    <w:abstractNumId w:val="2"/>
  </w:num>
  <w:num w:numId="2" w16cid:durableId="1682511584">
    <w:abstractNumId w:val="0"/>
  </w:num>
  <w:num w:numId="3" w16cid:durableId="1119033594">
    <w:abstractNumId w:val="1"/>
  </w:num>
  <w:num w:numId="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05D92"/>
    <w:rsid w:val="00120E2B"/>
    <w:rsid w:val="002D392E"/>
    <w:rsid w:val="003534B0"/>
    <w:rsid w:val="00493996"/>
    <w:rsid w:val="00552028"/>
    <w:rsid w:val="00565B10"/>
    <w:rsid w:val="007E6B50"/>
    <w:rsid w:val="0089131E"/>
    <w:rsid w:val="008E38A6"/>
    <w:rsid w:val="00904760"/>
    <w:rsid w:val="00905D92"/>
    <w:rsid w:val="00962384"/>
    <w:rsid w:val="00980E0E"/>
    <w:rsid w:val="00BA659B"/>
    <w:rsid w:val="00BE6E7F"/>
    <w:rsid w:val="00C53D67"/>
    <w:rsid w:val="00CC77D9"/>
    <w:rsid w:val="00EF56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6FDB"/>
  <w15:docId w15:val="{23E8BD11-C5A0-47E1-B1FF-45F1EA62B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lang w:val="es-ES"/>
    </w:rPr>
  </w:style>
  <w:style w:type="paragraph" w:styleId="Heading1">
    <w:name w:val="heading 1"/>
    <w:basedOn w:val="Normal"/>
    <w:uiPriority w:val="9"/>
    <w:qFormat/>
    <w:pPr>
      <w:spacing w:before="106"/>
      <w:ind w:left="378" w:hanging="208"/>
      <w:outlineLvl w:val="0"/>
    </w:pPr>
    <w:rPr>
      <w:b/>
      <w:bCs/>
      <w:sz w:val="24"/>
      <w:szCs w:val="24"/>
      <w:u w:val="single" w:color="000000"/>
    </w:rPr>
  </w:style>
  <w:style w:type="paragraph" w:styleId="Heading2">
    <w:name w:val="heading 2"/>
    <w:basedOn w:val="Normal"/>
    <w:uiPriority w:val="9"/>
    <w:unhideWhenUsed/>
    <w:qFormat/>
    <w:pPr>
      <w:ind w:left="615" w:hanging="445"/>
      <w:outlineLvl w:val="1"/>
    </w:pPr>
    <w:rPr>
      <w:b/>
      <w:bCs/>
    </w:rPr>
  </w:style>
  <w:style w:type="paragraph" w:styleId="Heading3">
    <w:name w:val="heading 3"/>
    <w:basedOn w:val="Normal"/>
    <w:uiPriority w:val="9"/>
    <w:unhideWhenUsed/>
    <w:qFormat/>
    <w:pPr>
      <w:spacing w:before="282"/>
      <w:ind w:left="840" w:hanging="670"/>
      <w:outlineLvl w:val="2"/>
    </w:pPr>
    <w:rPr>
      <w:rFonts w:ascii="Georgia" w:eastAsia="Georgia" w:hAnsi="Georgia" w:cs="Georgia"/>
      <w:b/>
      <w:bCs/>
      <w:i/>
      <w:iCs/>
    </w:rPr>
  </w:style>
  <w:style w:type="paragraph" w:styleId="Heading4">
    <w:name w:val="heading 4"/>
    <w:basedOn w:val="Normal"/>
    <w:next w:val="Normal"/>
    <w:link w:val="Heading4Char"/>
    <w:uiPriority w:val="9"/>
    <w:semiHidden/>
    <w:unhideWhenUsed/>
    <w:qFormat/>
    <w:rsid w:val="0049399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93996"/>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93996"/>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9399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9399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399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2"/>
      <w:ind w:left="497" w:hanging="327"/>
    </w:pPr>
    <w:rPr>
      <w:b/>
      <w:bCs/>
    </w:rPr>
  </w:style>
  <w:style w:type="paragraph" w:styleId="TOC2">
    <w:name w:val="toc 2"/>
    <w:basedOn w:val="Normal"/>
    <w:uiPriority w:val="1"/>
    <w:qFormat/>
    <w:pPr>
      <w:spacing w:before="94"/>
      <w:ind w:left="995" w:hanging="498"/>
    </w:pPr>
  </w:style>
  <w:style w:type="paragraph" w:styleId="TOC3">
    <w:name w:val="toc 3"/>
    <w:basedOn w:val="Normal"/>
    <w:uiPriority w:val="1"/>
    <w:qFormat/>
    <w:pPr>
      <w:spacing w:before="94"/>
      <w:ind w:left="1692" w:hanging="693"/>
    </w:pPr>
  </w:style>
  <w:style w:type="paragraph" w:styleId="BodyText">
    <w:name w:val="Body Text"/>
    <w:basedOn w:val="Normal"/>
    <w:uiPriority w:val="1"/>
    <w:qFormat/>
    <w:rPr>
      <w:i/>
      <w:iCs/>
    </w:rPr>
  </w:style>
  <w:style w:type="paragraph" w:styleId="Title">
    <w:name w:val="Title"/>
    <w:basedOn w:val="Normal"/>
    <w:uiPriority w:val="10"/>
    <w:qFormat/>
    <w:pPr>
      <w:spacing w:before="1"/>
      <w:ind w:left="944" w:right="799"/>
      <w:jc w:val="center"/>
    </w:pPr>
    <w:rPr>
      <w:b/>
      <w:bCs/>
      <w:sz w:val="34"/>
      <w:szCs w:val="34"/>
    </w:rPr>
  </w:style>
  <w:style w:type="paragraph" w:styleId="ListParagraph">
    <w:name w:val="List Paragraph"/>
    <w:basedOn w:val="Normal"/>
    <w:uiPriority w:val="1"/>
    <w:qFormat/>
    <w:pPr>
      <w:spacing w:before="106"/>
      <w:ind w:left="378" w:hanging="208"/>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962384"/>
    <w:pPr>
      <w:tabs>
        <w:tab w:val="center" w:pos="4252"/>
        <w:tab w:val="right" w:pos="8504"/>
      </w:tabs>
    </w:pPr>
  </w:style>
  <w:style w:type="character" w:customStyle="1" w:styleId="HeaderChar">
    <w:name w:val="Header Char"/>
    <w:basedOn w:val="DefaultParagraphFont"/>
    <w:link w:val="Header"/>
    <w:uiPriority w:val="99"/>
    <w:rsid w:val="00962384"/>
    <w:rPr>
      <w:rFonts w:ascii="Palatino Linotype" w:eastAsia="Palatino Linotype" w:hAnsi="Palatino Linotype" w:cs="Palatino Linotype"/>
      <w:lang w:val="es-ES"/>
    </w:rPr>
  </w:style>
  <w:style w:type="paragraph" w:styleId="Footer">
    <w:name w:val="footer"/>
    <w:basedOn w:val="Normal"/>
    <w:link w:val="FooterChar"/>
    <w:uiPriority w:val="99"/>
    <w:unhideWhenUsed/>
    <w:rsid w:val="00962384"/>
    <w:pPr>
      <w:tabs>
        <w:tab w:val="center" w:pos="4252"/>
        <w:tab w:val="right" w:pos="8504"/>
      </w:tabs>
    </w:pPr>
  </w:style>
  <w:style w:type="character" w:customStyle="1" w:styleId="FooterChar">
    <w:name w:val="Footer Char"/>
    <w:basedOn w:val="DefaultParagraphFont"/>
    <w:link w:val="Footer"/>
    <w:uiPriority w:val="99"/>
    <w:rsid w:val="00962384"/>
    <w:rPr>
      <w:rFonts w:ascii="Palatino Linotype" w:eastAsia="Palatino Linotype" w:hAnsi="Palatino Linotype" w:cs="Palatino Linotype"/>
      <w:lang w:val="es-ES"/>
    </w:rPr>
  </w:style>
  <w:style w:type="character" w:styleId="BookTitle">
    <w:name w:val="Book Title"/>
    <w:basedOn w:val="DefaultParagraphFont"/>
    <w:uiPriority w:val="33"/>
    <w:qFormat/>
    <w:rsid w:val="00493996"/>
    <w:rPr>
      <w:b/>
      <w:bCs/>
      <w:i/>
      <w:iCs/>
      <w:spacing w:val="5"/>
    </w:rPr>
  </w:style>
  <w:style w:type="paragraph" w:styleId="Caption">
    <w:name w:val="caption"/>
    <w:basedOn w:val="Normal"/>
    <w:next w:val="Normal"/>
    <w:uiPriority w:val="35"/>
    <w:semiHidden/>
    <w:unhideWhenUsed/>
    <w:qFormat/>
    <w:rsid w:val="00493996"/>
    <w:pPr>
      <w:spacing w:after="200"/>
    </w:pPr>
    <w:rPr>
      <w:i/>
      <w:iCs/>
      <w:color w:val="1F497D" w:themeColor="text2"/>
      <w:sz w:val="18"/>
      <w:szCs w:val="18"/>
    </w:rPr>
  </w:style>
  <w:style w:type="character" w:styleId="Emphasis">
    <w:name w:val="Emphasis"/>
    <w:basedOn w:val="DefaultParagraphFont"/>
    <w:uiPriority w:val="20"/>
    <w:qFormat/>
    <w:rsid w:val="00493996"/>
    <w:rPr>
      <w:i/>
      <w:iCs/>
    </w:rPr>
  </w:style>
  <w:style w:type="character" w:customStyle="1" w:styleId="Heading4Char">
    <w:name w:val="Heading 4 Char"/>
    <w:basedOn w:val="DefaultParagraphFont"/>
    <w:link w:val="Heading4"/>
    <w:uiPriority w:val="9"/>
    <w:semiHidden/>
    <w:rsid w:val="00493996"/>
    <w:rPr>
      <w:rFonts w:asciiTheme="majorHAnsi" w:eastAsiaTheme="majorEastAsia" w:hAnsiTheme="majorHAnsi" w:cstheme="majorBidi"/>
      <w:i/>
      <w:iCs/>
      <w:color w:val="365F91" w:themeColor="accent1" w:themeShade="BF"/>
      <w:lang w:val="es-ES"/>
    </w:rPr>
  </w:style>
  <w:style w:type="character" w:customStyle="1" w:styleId="Heading5Char">
    <w:name w:val="Heading 5 Char"/>
    <w:basedOn w:val="DefaultParagraphFont"/>
    <w:link w:val="Heading5"/>
    <w:uiPriority w:val="9"/>
    <w:semiHidden/>
    <w:rsid w:val="00493996"/>
    <w:rPr>
      <w:rFonts w:asciiTheme="majorHAnsi" w:eastAsiaTheme="majorEastAsia" w:hAnsiTheme="majorHAnsi" w:cstheme="majorBidi"/>
      <w:color w:val="365F91" w:themeColor="accent1" w:themeShade="BF"/>
      <w:lang w:val="es-ES"/>
    </w:rPr>
  </w:style>
  <w:style w:type="character" w:customStyle="1" w:styleId="Heading6Char">
    <w:name w:val="Heading 6 Char"/>
    <w:basedOn w:val="DefaultParagraphFont"/>
    <w:link w:val="Heading6"/>
    <w:uiPriority w:val="9"/>
    <w:semiHidden/>
    <w:rsid w:val="00493996"/>
    <w:rPr>
      <w:rFonts w:asciiTheme="majorHAnsi" w:eastAsiaTheme="majorEastAsia" w:hAnsiTheme="majorHAnsi" w:cstheme="majorBidi"/>
      <w:color w:val="243F60" w:themeColor="accent1" w:themeShade="7F"/>
      <w:lang w:val="es-ES"/>
    </w:rPr>
  </w:style>
  <w:style w:type="character" w:customStyle="1" w:styleId="Heading7Char">
    <w:name w:val="Heading 7 Char"/>
    <w:basedOn w:val="DefaultParagraphFont"/>
    <w:link w:val="Heading7"/>
    <w:uiPriority w:val="9"/>
    <w:semiHidden/>
    <w:rsid w:val="00493996"/>
    <w:rPr>
      <w:rFonts w:asciiTheme="majorHAnsi" w:eastAsiaTheme="majorEastAsia" w:hAnsiTheme="majorHAnsi" w:cstheme="majorBidi"/>
      <w:i/>
      <w:iCs/>
      <w:color w:val="243F60" w:themeColor="accent1" w:themeShade="7F"/>
      <w:lang w:val="es-ES"/>
    </w:rPr>
  </w:style>
  <w:style w:type="character" w:customStyle="1" w:styleId="Heading8Char">
    <w:name w:val="Heading 8 Char"/>
    <w:basedOn w:val="DefaultParagraphFont"/>
    <w:link w:val="Heading8"/>
    <w:uiPriority w:val="9"/>
    <w:semiHidden/>
    <w:rsid w:val="00493996"/>
    <w:rPr>
      <w:rFonts w:asciiTheme="majorHAnsi" w:eastAsiaTheme="majorEastAsia" w:hAnsiTheme="majorHAnsi" w:cstheme="majorBidi"/>
      <w:color w:val="272727" w:themeColor="text1" w:themeTint="D8"/>
      <w:sz w:val="21"/>
      <w:szCs w:val="21"/>
      <w:lang w:val="es-ES"/>
    </w:rPr>
  </w:style>
  <w:style w:type="character" w:customStyle="1" w:styleId="Heading9Char">
    <w:name w:val="Heading 9 Char"/>
    <w:basedOn w:val="DefaultParagraphFont"/>
    <w:link w:val="Heading9"/>
    <w:uiPriority w:val="9"/>
    <w:semiHidden/>
    <w:rsid w:val="00493996"/>
    <w:rPr>
      <w:rFonts w:asciiTheme="majorHAnsi" w:eastAsiaTheme="majorEastAsia" w:hAnsiTheme="majorHAnsi" w:cstheme="majorBidi"/>
      <w:i/>
      <w:iCs/>
      <w:color w:val="272727" w:themeColor="text1" w:themeTint="D8"/>
      <w:sz w:val="21"/>
      <w:szCs w:val="21"/>
      <w:lang w:val="es-ES"/>
    </w:rPr>
  </w:style>
  <w:style w:type="character" w:styleId="IntenseEmphasis">
    <w:name w:val="Intense Emphasis"/>
    <w:basedOn w:val="DefaultParagraphFont"/>
    <w:uiPriority w:val="21"/>
    <w:qFormat/>
    <w:rsid w:val="00493996"/>
    <w:rPr>
      <w:i/>
      <w:iCs/>
      <w:color w:val="4F81BD" w:themeColor="accent1"/>
    </w:rPr>
  </w:style>
  <w:style w:type="paragraph" w:styleId="IntenseQuote">
    <w:name w:val="Intense Quote"/>
    <w:basedOn w:val="Normal"/>
    <w:next w:val="Normal"/>
    <w:link w:val="IntenseQuoteChar"/>
    <w:uiPriority w:val="30"/>
    <w:qFormat/>
    <w:rsid w:val="0049399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93996"/>
    <w:rPr>
      <w:rFonts w:ascii="Palatino Linotype" w:eastAsia="Palatino Linotype" w:hAnsi="Palatino Linotype" w:cs="Palatino Linotype"/>
      <w:i/>
      <w:iCs/>
      <w:color w:val="4F81BD" w:themeColor="accent1"/>
      <w:lang w:val="es-ES"/>
    </w:rPr>
  </w:style>
  <w:style w:type="character" w:styleId="IntenseReference">
    <w:name w:val="Intense Reference"/>
    <w:basedOn w:val="DefaultParagraphFont"/>
    <w:uiPriority w:val="32"/>
    <w:qFormat/>
    <w:rsid w:val="00493996"/>
    <w:rPr>
      <w:b/>
      <w:bCs/>
      <w:smallCaps/>
      <w:color w:val="4F81BD" w:themeColor="accent1"/>
      <w:spacing w:val="5"/>
    </w:rPr>
  </w:style>
  <w:style w:type="paragraph" w:styleId="NoSpacing">
    <w:name w:val="No Spacing"/>
    <w:uiPriority w:val="1"/>
    <w:qFormat/>
    <w:rsid w:val="00493996"/>
    <w:rPr>
      <w:rFonts w:ascii="Palatino Linotype" w:eastAsia="Palatino Linotype" w:hAnsi="Palatino Linotype" w:cs="Palatino Linotype"/>
      <w:lang w:val="es-ES"/>
    </w:rPr>
  </w:style>
  <w:style w:type="paragraph" w:styleId="Quote">
    <w:name w:val="Quote"/>
    <w:basedOn w:val="Normal"/>
    <w:next w:val="Normal"/>
    <w:link w:val="QuoteChar"/>
    <w:uiPriority w:val="29"/>
    <w:qFormat/>
    <w:rsid w:val="0049399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93996"/>
    <w:rPr>
      <w:rFonts w:ascii="Palatino Linotype" w:eastAsia="Palatino Linotype" w:hAnsi="Palatino Linotype" w:cs="Palatino Linotype"/>
      <w:i/>
      <w:iCs/>
      <w:color w:val="404040" w:themeColor="text1" w:themeTint="BF"/>
      <w:lang w:val="es-ES"/>
    </w:rPr>
  </w:style>
  <w:style w:type="character" w:styleId="Strong">
    <w:name w:val="Strong"/>
    <w:basedOn w:val="DefaultParagraphFont"/>
    <w:uiPriority w:val="22"/>
    <w:qFormat/>
    <w:rsid w:val="00493996"/>
    <w:rPr>
      <w:b/>
      <w:bCs/>
    </w:rPr>
  </w:style>
  <w:style w:type="paragraph" w:styleId="Subtitle">
    <w:name w:val="Subtitle"/>
    <w:basedOn w:val="Normal"/>
    <w:next w:val="Normal"/>
    <w:link w:val="SubtitleChar"/>
    <w:uiPriority w:val="11"/>
    <w:qFormat/>
    <w:rsid w:val="0049399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93996"/>
    <w:rPr>
      <w:rFonts w:eastAsiaTheme="minorEastAsia"/>
      <w:color w:val="5A5A5A" w:themeColor="text1" w:themeTint="A5"/>
      <w:spacing w:val="15"/>
      <w:lang w:val="es-ES"/>
    </w:rPr>
  </w:style>
  <w:style w:type="character" w:styleId="SubtleEmphasis">
    <w:name w:val="Subtle Emphasis"/>
    <w:basedOn w:val="DefaultParagraphFont"/>
    <w:uiPriority w:val="19"/>
    <w:qFormat/>
    <w:rsid w:val="00493996"/>
    <w:rPr>
      <w:i/>
      <w:iCs/>
      <w:color w:val="404040" w:themeColor="text1" w:themeTint="BF"/>
    </w:rPr>
  </w:style>
  <w:style w:type="character" w:styleId="SubtleReference">
    <w:name w:val="Subtle Reference"/>
    <w:basedOn w:val="DefaultParagraphFont"/>
    <w:uiPriority w:val="31"/>
    <w:qFormat/>
    <w:rsid w:val="00493996"/>
    <w:rPr>
      <w:smallCaps/>
      <w:color w:val="5A5A5A" w:themeColor="text1" w:themeTint="A5"/>
    </w:rPr>
  </w:style>
  <w:style w:type="paragraph" w:styleId="TOCHeading">
    <w:name w:val="TOC Heading"/>
    <w:basedOn w:val="Heading1"/>
    <w:next w:val="Normal"/>
    <w:uiPriority w:val="39"/>
    <w:semiHidden/>
    <w:unhideWhenUsed/>
    <w:qFormat/>
    <w:rsid w:val="00493996"/>
    <w:pPr>
      <w:keepNext/>
      <w:keepLines/>
      <w:spacing w:before="240"/>
      <w:ind w:left="0" w:firstLine="0"/>
      <w:outlineLvl w:val="9"/>
    </w:pPr>
    <w:rPr>
      <w:rFonts w:asciiTheme="majorHAnsi" w:eastAsiaTheme="majorEastAsia" w:hAnsiTheme="majorHAnsi" w:cstheme="majorBidi"/>
      <w:b w:val="0"/>
      <w:bCs w:val="0"/>
      <w:color w:val="365F91" w:themeColor="accent1" w:themeShade="BF"/>
      <w:sz w:val="32"/>
      <w:szCs w:val="3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orreo@dominio.edu.ar"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correo@dominio.edu.a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orreo@dominio.edu.ar"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af6e66d-d4a6-4409-b3f2-9172cbc29d4b" xsi:nil="true"/>
    <lcf76f155ced4ddcb4097134ff3c332f xmlns="e207eda7-c60a-4298-ac2b-86dd5bc7ae7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F98D95B3C7764478220B4640544549A" ma:contentTypeVersion="12" ma:contentTypeDescription="Create a new document." ma:contentTypeScope="" ma:versionID="fdd2da79dca7eceea7526dc50efcfcf0">
  <xsd:schema xmlns:xsd="http://www.w3.org/2001/XMLSchema" xmlns:xs="http://www.w3.org/2001/XMLSchema" xmlns:p="http://schemas.microsoft.com/office/2006/metadata/properties" xmlns:ns2="e207eda7-c60a-4298-ac2b-86dd5bc7ae7a" xmlns:ns3="5af6e66d-d4a6-4409-b3f2-9172cbc29d4b" targetNamespace="http://schemas.microsoft.com/office/2006/metadata/properties" ma:root="true" ma:fieldsID="4881c84358a8dc26e9e0ecb88e466808" ns2:_="" ns3:_="">
    <xsd:import namespace="e207eda7-c60a-4298-ac2b-86dd5bc7ae7a"/>
    <xsd:import namespace="5af6e66d-d4a6-4409-b3f2-9172cbc29d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07eda7-c60a-4298-ac2b-86dd5bc7a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6f62536-3a25-4b8a-9b5d-7e17d0b046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6e66d-d4a6-4409-b3f2-9172cbc29d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b6336c-0b27-46de-820e-856c14d1331c}" ma:internalName="TaxCatchAll" ma:showField="CatchAllData" ma:web="5af6e66d-d4a6-4409-b3f2-9172cbc29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2AB04D-01F1-4735-915C-9B50FA1BABFA}">
  <ds:schemaRefs>
    <ds:schemaRef ds:uri="http://schemas.microsoft.com/office/2006/metadata/properties"/>
    <ds:schemaRef ds:uri="http://schemas.microsoft.com/office/infopath/2007/PartnerControls"/>
    <ds:schemaRef ds:uri="5af6e66d-d4a6-4409-b3f2-9172cbc29d4b"/>
    <ds:schemaRef ds:uri="e207eda7-c60a-4298-ac2b-86dd5bc7ae7a"/>
  </ds:schemaRefs>
</ds:datastoreItem>
</file>

<file path=customXml/itemProps2.xml><?xml version="1.0" encoding="utf-8"?>
<ds:datastoreItem xmlns:ds="http://schemas.openxmlformats.org/officeDocument/2006/customXml" ds:itemID="{A68CBFD7-730D-4807-A8FE-650171BDBE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07eda7-c60a-4298-ac2b-86dd5bc7ae7a"/>
    <ds:schemaRef ds:uri="5af6e66d-d4a6-4409-b3f2-9172cbc29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7E39EF-5F9F-4408-87A3-863B9FBA3BA0}">
  <ds:schemaRefs>
    <ds:schemaRef ds:uri="http://schemas.microsoft.com/sharepoint/v3/contenttype/forms"/>
  </ds:schemaRefs>
</ds:datastoreItem>
</file>

<file path=docMetadata/LabelInfo.xml><?xml version="1.0" encoding="utf-8"?>
<clbl:labelList xmlns:clbl="http://schemas.microsoft.com/office/2020/mipLabelMetadata">
  <clbl:label id="{4287bb64-a677-4999-a7e1-c729498cafc7}" enabled="1" method="Standard" siteId="{c990bb7a-51f4-439b-bd36-9c07fb1041c0}" removed="0"/>
</clbl:labelList>
</file>

<file path=docProps/app.xml><?xml version="1.0" encoding="utf-8"?>
<Properties xmlns="http://schemas.openxmlformats.org/officeDocument/2006/extended-properties" xmlns:vt="http://schemas.openxmlformats.org/officeDocument/2006/docPropsVTypes">
  <Template>Normal</Template>
  <TotalTime>11</TotalTime>
  <Pages>8</Pages>
  <Words>463</Words>
  <Characters>2645</Characters>
  <Application>Microsoft Office Word</Application>
  <DocSecurity>0</DocSecurity>
  <Lines>97</Lines>
  <Paragraphs>77</Paragraphs>
  <ScaleCrop>false</ScaleCrop>
  <Company>Ford Motor Company</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MONTENEGRO, ULISES (U.)</cp:lastModifiedBy>
  <cp:revision>13</cp:revision>
  <dcterms:created xsi:type="dcterms:W3CDTF">2026-05-28T18:24:00Z</dcterms:created>
  <dcterms:modified xsi:type="dcterms:W3CDTF">2026-09-22T16:03:00Z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2026-05-28T00:00:00Z</vt:filetime>
  </property>
  <property fmtid="{D5CDD505-2E9C-101B-9397-08002B2CF9AE}" pid="3" name="Creator">
    <vt:lpwstr>LaTeX with hyperref</vt:lpwstr>
  </property>
  <property fmtid="{D5CDD505-2E9C-101B-9397-08002B2CF9AE}" pid="4" name="LastSaved">
    <vt:filetime>2026-05-28T00:00:00Z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ContentTypeId">
    <vt:lpwstr>0x010100DF98D95B3C7764478220B4640544549A</vt:lpwstr>
  </property>
  <property fmtid="{D5CDD505-2E9C-101B-9397-08002B2CF9AE}" pid="8" name="MediaServiceImageTags">
    <vt:lpwstr/>
  </property>
</Properties>
</file>