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oter5.xml" ContentType="application/vnd.openxmlformats-officedocument.wordprocessingml.foot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header4.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numbering.xml" ContentType="application/vnd.openxmlformats-officedocument.wordprocessingml.numbering+xml"/>
  <Override PartName="/word/document.xml" ContentType="application/vnd.openxmlformats-officedocument.wordprocessingml.document.main+xml"/>
  <Override PartName="/word/styles.xml" ContentType="application/vnd.openxmlformats-officedocument.wordprocessingml.styles+xml"/>
  <Override PartName="/word/header5.xml" ContentType="application/vnd.openxmlformats-officedocument.wordprocessingml.header+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4.xml" ContentType="application/vnd.openxmlformats-officedocument.wordprocessingml.footer+xml"/>
  <Override PartName="/customXml/item1.xml" ContentType="application/xml"/>
  <Override PartName="/customXml/itemProps1.xml" ContentType="application/vnd.openxmlformats-officedocument.customXmlProperties+xml"/>
  <Override PartName="/customXml/item2.xml" ContentType="application/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ind w:left="3226"/>
        <w:rPr>
          <w:rFonts w:ascii="Times New Roman" w:hAnsi="Times New Roman"/>
          <w:sz w:val="20"/>
        </w:rPr>
      </w:pPr>
      <w:r>
        <w:rPr/>
        <w:drawing>
          <wp:inline distT="0" distB="0" distL="0" distR="0">
            <wp:extent cx="1754505" cy="898525"/>
            <wp:effectExtent l="0" t="0" r="0" b="0"/>
            <wp:docPr id="1" name="Image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 1" descr=""/>
                    <pic:cNvPicPr>
                      <a:picLocks noChangeAspect="1" noChangeArrowheads="1"/>
                    </pic:cNvPicPr>
                  </pic:nvPicPr>
                  <pic:blipFill>
                    <a:blip r:embed="rId2"/>
                    <a:stretch>
                      <a:fillRect/>
                    </a:stretch>
                  </pic:blipFill>
                  <pic:spPr bwMode="auto">
                    <a:xfrm>
                      <a:off x="0" y="0"/>
                      <a:ext cx="1754505" cy="898525"/>
                    </a:xfrm>
                    <a:prstGeom prst="rect">
                      <a:avLst/>
                    </a:prstGeom>
                  </pic:spPr>
                </pic:pic>
              </a:graphicData>
            </a:graphic>
          </wp:inline>
        </w:drawing>
      </w:r>
    </w:p>
    <w:p>
      <w:pPr>
        <w:pStyle w:val="Normal"/>
        <w:spacing w:lineRule="exact" w:line="302" w:before="236" w:after="0"/>
        <w:ind w:left="948" w:right="799"/>
        <w:jc w:val="center"/>
        <w:rPr>
          <w:sz w:val="24"/>
          <w:lang w:val="en-US"/>
        </w:rPr>
      </w:pPr>
      <w:r>
        <w:rPr>
          <w:w w:val="120"/>
          <w:sz w:val="24"/>
          <w:lang w:val="en-US"/>
        </w:rPr>
        <w:t>Ford</w:t>
      </w:r>
      <w:r>
        <w:rPr>
          <w:spacing w:val="15"/>
          <w:w w:val="120"/>
          <w:sz w:val="24"/>
          <w:lang w:val="en-US"/>
        </w:rPr>
        <w:t xml:space="preserve"> </w:t>
      </w:r>
      <w:r>
        <w:rPr>
          <w:spacing w:val="-2"/>
          <w:w w:val="120"/>
          <w:sz w:val="24"/>
          <w:lang w:val="en-US"/>
        </w:rPr>
        <w:t>Argentina</w:t>
      </w:r>
    </w:p>
    <w:p>
      <w:pPr>
        <w:pStyle w:val="Normal"/>
        <w:spacing w:lineRule="atLeast" w:line="248"/>
        <w:ind w:left="171" w:right="24"/>
        <w:jc w:val="center"/>
        <w:rPr>
          <w:lang w:val="en-US"/>
        </w:rPr>
      </w:pPr>
      <w:r>
        <w:rPr>
          <w:spacing w:val="-2"/>
          <w:sz w:val="20"/>
          <w:szCs w:val="20"/>
          <w:lang w:val="en-US"/>
        </w:rPr>
        <w:t>Ford</w:t>
      </w:r>
      <w:r>
        <w:rPr>
          <w:spacing w:val="3"/>
          <w:sz w:val="20"/>
          <w:szCs w:val="20"/>
          <w:lang w:val="en-US"/>
        </w:rPr>
        <w:t xml:space="preserve"> </w:t>
      </w:r>
      <w:r>
        <w:rPr>
          <w:spacing w:val="-2"/>
          <w:sz w:val="20"/>
          <w:szCs w:val="20"/>
          <w:lang w:val="en-US"/>
        </w:rPr>
        <w:t>Innovation</w:t>
      </w:r>
      <w:r>
        <w:rPr>
          <w:spacing w:val="4"/>
          <w:sz w:val="20"/>
          <w:szCs w:val="20"/>
          <w:lang w:val="en-US"/>
        </w:rPr>
        <w:t xml:space="preserve"> </w:t>
      </w:r>
      <w:r>
        <w:rPr>
          <w:spacing w:val="-2"/>
          <w:sz w:val="20"/>
          <w:szCs w:val="20"/>
          <w:lang w:val="en-US"/>
        </w:rPr>
        <w:t>Challenge</w:t>
      </w:r>
      <w:r>
        <w:rPr>
          <w:spacing w:val="4"/>
          <w:sz w:val="20"/>
          <w:szCs w:val="20"/>
          <w:lang w:val="en-US"/>
        </w:rPr>
        <w:t xml:space="preserve"> </w:t>
      </w:r>
      <w:r>
        <w:rPr>
          <w:spacing w:val="-2"/>
          <w:sz w:val="20"/>
          <w:szCs w:val="20"/>
          <w:lang w:val="en-US"/>
        </w:rPr>
        <w:t>III</w:t>
      </w:r>
      <w:r>
        <w:rPr>
          <w:spacing w:val="4"/>
          <w:sz w:val="20"/>
          <w:szCs w:val="20"/>
          <w:lang w:val="en-US"/>
        </w:rPr>
        <w:t xml:space="preserve"> </w:t>
      </w:r>
      <w:r>
        <w:rPr>
          <w:spacing w:val="-2"/>
          <w:sz w:val="20"/>
          <w:szCs w:val="20"/>
          <w:lang w:val="en-US"/>
        </w:rPr>
        <w:t>—</w:t>
      </w:r>
      <w:r>
        <w:rPr>
          <w:spacing w:val="3"/>
          <w:sz w:val="20"/>
          <w:szCs w:val="20"/>
          <w:lang w:val="en-US"/>
        </w:rPr>
        <w:t xml:space="preserve"> </w:t>
      </w:r>
      <w:r>
        <w:rPr>
          <w:spacing w:val="-2"/>
          <w:sz w:val="20"/>
          <w:szCs w:val="20"/>
          <w:lang w:val="en-US"/>
        </w:rPr>
        <w:t>AI</w:t>
      </w:r>
      <w:r>
        <w:rPr>
          <w:spacing w:val="4"/>
          <w:sz w:val="20"/>
          <w:szCs w:val="20"/>
          <w:lang w:val="en-US"/>
        </w:rPr>
        <w:t xml:space="preserve"> </w:t>
      </w:r>
      <w:r>
        <w:rPr>
          <w:spacing w:val="-2"/>
          <w:sz w:val="20"/>
          <w:szCs w:val="20"/>
          <w:lang w:val="en-US"/>
        </w:rPr>
        <w:t>Edition</w:t>
      </w:r>
      <w:r>
        <w:rPr>
          <w:spacing w:val="4"/>
          <w:sz w:val="20"/>
          <w:szCs w:val="20"/>
          <w:lang w:val="en-US"/>
        </w:rPr>
        <w:t xml:space="preserve"> </w:t>
      </w:r>
      <w:r>
        <w:rPr>
          <w:spacing w:val="-2"/>
          <w:sz w:val="20"/>
          <w:szCs w:val="20"/>
          <w:lang w:val="en-US"/>
        </w:rPr>
        <w:t>—</w:t>
      </w:r>
      <w:r>
        <w:rPr>
          <w:spacing w:val="4"/>
          <w:sz w:val="20"/>
          <w:szCs w:val="20"/>
          <w:lang w:val="en-US"/>
        </w:rPr>
        <w:t xml:space="preserve"> </w:t>
      </w:r>
      <w:r>
        <w:rPr>
          <w:spacing w:val="-4"/>
          <w:sz w:val="20"/>
          <w:szCs w:val="20"/>
          <w:lang w:val="en-US"/>
        </w:rPr>
        <w:t>2026</w:t>
      </w:r>
    </w:p>
    <w:p>
      <w:pPr>
        <w:pStyle w:val="BodyText"/>
        <w:rPr>
          <w:i w:val="false"/>
          <w:i w:val="false"/>
          <w:sz w:val="20"/>
          <w:lang w:val="en-US"/>
        </w:rPr>
      </w:pPr>
      <w:r>
        <w:rPr>
          <w:i w:val="false"/>
          <w:sz w:val="20"/>
          <w:lang w:val="en-US"/>
        </w:rPr>
      </w:r>
    </w:p>
    <w:p>
      <w:pPr>
        <w:pStyle w:val="BodyText"/>
        <w:rPr>
          <w:i w:val="false"/>
          <w:i w:val="false"/>
          <w:sz w:val="20"/>
          <w:lang w:val="en-US"/>
        </w:rPr>
      </w:pPr>
      <w:r>
        <w:rPr>
          <w:i w:val="false"/>
          <w:sz w:val="20"/>
          <w:lang w:val="en-US"/>
        </w:rPr>
      </w:r>
    </w:p>
    <w:p>
      <w:pPr>
        <w:pStyle w:val="BodyText"/>
        <w:spacing w:before="193" w:after="0"/>
        <w:rPr>
          <w:i w:val="false"/>
          <w:i w:val="false"/>
          <w:sz w:val="20"/>
          <w:lang w:val="en-US"/>
        </w:rPr>
      </w:pPr>
      <w:r>
        <w:rPr>
          <w:i w:val="false"/>
          <w:sz w:val="20"/>
          <w:lang w:val="en-US"/>
        </w:rPr>
      </w:r>
    </w:p>
    <w:p>
      <w:pPr>
        <w:pStyle w:val="Title"/>
        <w:spacing w:lineRule="auto" w:line="228"/>
        <w:rPr>
          <w:lang w:val="en-US"/>
        </w:rPr>
      </w:pPr>
      <w:r>
        <w:rPr>
          <w:w w:val="105"/>
          <w:lang w:val="en-US"/>
        </w:rPr>
        <w:t xml:space="preserve">Ford Innovation Challenge </w:t>
      </w:r>
      <w:r>
        <w:rPr>
          <w:lang w:val="en-US"/>
        </w:rPr>
        <w:t>III: AI</w:t>
      </w:r>
      <w:r>
        <w:rPr>
          <w:w w:val="105"/>
          <w:lang w:val="en-US"/>
        </w:rPr>
        <w:t xml:space="preserve"> Edition</w:t>
      </w:r>
    </w:p>
    <w:p>
      <w:pPr>
        <w:pStyle w:val="Title"/>
        <w:spacing w:before="208" w:after="0"/>
        <w:ind w:left="944" w:right="801"/>
        <w:rPr/>
      </w:pPr>
      <w:r>
        <w:rPr>
          <w:w w:val="105"/>
        </w:rPr>
        <w:t>Informe</w:t>
      </w:r>
      <w:r>
        <w:rPr>
          <w:spacing w:val="35"/>
          <w:w w:val="105"/>
        </w:rPr>
        <w:t xml:space="preserve"> </w:t>
      </w:r>
      <w:r>
        <w:rPr>
          <w:w w:val="105"/>
        </w:rPr>
        <w:t>de</w:t>
      </w:r>
      <w:r>
        <w:rPr>
          <w:spacing w:val="36"/>
          <w:w w:val="105"/>
        </w:rPr>
        <w:t xml:space="preserve"> </w:t>
      </w:r>
      <w:r>
        <w:rPr>
          <w:w w:val="105"/>
        </w:rPr>
        <w:t>la</w:t>
      </w:r>
      <w:r>
        <w:rPr>
          <w:spacing w:val="36"/>
          <w:w w:val="105"/>
        </w:rPr>
        <w:t xml:space="preserve"> </w:t>
      </w:r>
      <w:r>
        <w:rPr>
          <w:spacing w:val="-2"/>
          <w:w w:val="105"/>
        </w:rPr>
        <w:t>Solución</w:t>
      </w:r>
    </w:p>
    <w:p>
      <w:pPr>
        <w:pStyle w:val="Normal"/>
        <w:spacing w:before="201" w:after="0"/>
        <w:ind w:left="171" w:right="9"/>
        <w:jc w:val="center"/>
        <w:rPr>
          <w:b/>
          <w:sz w:val="24"/>
        </w:rPr>
      </w:pPr>
      <w:r>
        <w:rPr>
          <w:b/>
          <w:w w:val="105"/>
          <w:sz w:val="24"/>
        </w:rPr>
        <w:t>Desafío 1: Data-Driven Repurchase based on Service Retention</w:t>
      </w:r>
    </w:p>
    <w:p>
      <w:pPr>
        <w:pStyle w:val="Normal"/>
        <w:spacing w:before="138" w:after="0"/>
        <w:ind w:left="171"/>
        <w:jc w:val="center"/>
        <w:rPr>
          <w:b/>
        </w:rPr>
      </w:pPr>
      <w:r>
        <w:rPr>
          <w:b/>
          <w:w w:val="105"/>
        </w:rPr>
        <w:t>Equipo: SIMtec</w:t>
      </w:r>
    </w:p>
    <w:p>
      <w:pPr>
        <w:pStyle w:val="BodyText"/>
        <w:rPr>
          <w:b/>
          <w:i w:val="false"/>
          <w:i w:val="false"/>
          <w:sz w:val="20"/>
        </w:rPr>
      </w:pPr>
      <w:r>
        <w:rPr>
          <w:b/>
          <w:i w:val="false"/>
          <w:sz w:val="20"/>
        </w:rPr>
      </w:r>
    </w:p>
    <w:p>
      <w:pPr>
        <w:pStyle w:val="BodyText"/>
        <w:rPr>
          <w:b/>
          <w:i w:val="false"/>
          <w:i w:val="false"/>
          <w:sz w:val="20"/>
        </w:rPr>
      </w:pPr>
      <w:r>
        <w:rPr>
          <w:b/>
          <w:i w:val="false"/>
          <w:sz w:val="20"/>
        </w:rPr>
      </w:r>
    </w:p>
    <w:p>
      <w:pPr>
        <w:pStyle w:val="BodyText"/>
        <w:spacing w:before="12" w:after="0"/>
        <w:rPr>
          <w:b/>
          <w:i w:val="false"/>
          <w:i w:val="false"/>
          <w:sz w:val="20"/>
        </w:rPr>
      </w:pPr>
      <w:r>
        <w:rPr>
          <w:b/>
          <w:i w:val="false"/>
          <w:sz w:val="20"/>
        </w:rPr>
      </w:r>
    </w:p>
    <w:tbl>
      <w:tblPr>
        <w:tblW w:w="7837" w:type="dxa"/>
        <w:jc w:val="left"/>
        <w:tblInd w:w="635" w:type="dxa"/>
        <w:tblLayout w:type="fixed"/>
        <w:tblCellMar>
          <w:top w:w="0" w:type="dxa"/>
          <w:left w:w="5" w:type="dxa"/>
          <w:bottom w:w="0" w:type="dxa"/>
          <w:right w:w="5" w:type="dxa"/>
        </w:tblCellMar>
        <w:tblLook w:val="01e0" w:noHBand="0" w:noVBand="0" w:firstColumn="1" w:lastRow="1" w:lastColumn="1" w:firstRow="1"/>
      </w:tblPr>
      <w:tblGrid>
        <w:gridCol w:w="2507"/>
        <w:gridCol w:w="1568"/>
        <w:gridCol w:w="1772"/>
        <w:gridCol w:w="1989"/>
      </w:tblGrid>
      <w:tr>
        <w:trPr>
          <w:trHeight w:val="268" w:hRule="atLeast"/>
        </w:trPr>
        <w:tc>
          <w:tcPr>
            <w:tcW w:w="7836" w:type="dxa"/>
            <w:gridSpan w:val="4"/>
            <w:tcBorders>
              <w:top w:val="single" w:sz="4" w:space="0" w:color="000000"/>
              <w:left w:val="single" w:sz="4" w:space="0" w:color="000000"/>
              <w:bottom w:val="single" w:sz="4" w:space="0" w:color="000000"/>
              <w:right w:val="single" w:sz="4" w:space="0" w:color="000000"/>
            </w:tcBorders>
          </w:tcPr>
          <w:p>
            <w:pPr>
              <w:pStyle w:val="TableParagraph"/>
              <w:ind w:left="4"/>
              <w:jc w:val="center"/>
              <w:rPr>
                <w:b/>
              </w:rPr>
            </w:pPr>
            <w:bookmarkStart w:id="0" w:name="Índice"/>
            <w:bookmarkStart w:id="1" w:name="_bookmark0"/>
            <w:bookmarkEnd w:id="0"/>
            <w:bookmarkEnd w:id="1"/>
            <w:r>
              <w:rPr>
                <w:b/>
                <w:spacing w:val="-2"/>
                <w:w w:val="110"/>
              </w:rPr>
              <w:t>Integrantes</w:t>
            </w:r>
          </w:p>
        </w:tc>
      </w:tr>
      <w:tr>
        <w:trPr>
          <w:trHeight w:val="268" w:hRule="atLeast"/>
        </w:trPr>
        <w:tc>
          <w:tcPr>
            <w:tcW w:w="2507" w:type="dxa"/>
            <w:tcBorders>
              <w:top w:val="single" w:sz="4" w:space="0" w:color="000000"/>
              <w:left w:val="single" w:sz="4" w:space="0" w:color="000000"/>
              <w:bottom w:val="single" w:sz="4" w:space="0" w:color="000000"/>
              <w:right w:val="single" w:sz="4" w:space="0" w:color="000000"/>
            </w:tcBorders>
          </w:tcPr>
          <w:p>
            <w:pPr>
              <w:pStyle w:val="TableParagraph"/>
              <w:rPr>
                <w:b/>
              </w:rPr>
            </w:pPr>
            <w:r>
              <w:rPr>
                <w:b/>
                <w:w w:val="105"/>
              </w:rPr>
              <w:t>Nombre</w:t>
            </w:r>
            <w:r>
              <w:rPr>
                <w:b/>
                <w:spacing w:val="28"/>
                <w:w w:val="105"/>
              </w:rPr>
              <w:t xml:space="preserve"> </w:t>
            </w:r>
            <w:r>
              <w:rPr>
                <w:b/>
                <w:w w:val="105"/>
              </w:rPr>
              <w:t>y</w:t>
            </w:r>
            <w:r>
              <w:rPr>
                <w:b/>
                <w:spacing w:val="29"/>
                <w:w w:val="105"/>
              </w:rPr>
              <w:t xml:space="preserve"> </w:t>
            </w:r>
            <w:r>
              <w:rPr>
                <w:b/>
                <w:spacing w:val="-2"/>
                <w:w w:val="105"/>
              </w:rPr>
              <w:t>apellido</w:t>
            </w:r>
          </w:p>
        </w:tc>
        <w:tc>
          <w:tcPr>
            <w:tcW w:w="1568" w:type="dxa"/>
            <w:tcBorders>
              <w:top w:val="single" w:sz="4" w:space="0" w:color="000000"/>
              <w:left w:val="single" w:sz="4" w:space="0" w:color="000000"/>
              <w:bottom w:val="single" w:sz="4" w:space="0" w:color="000000"/>
              <w:right w:val="single" w:sz="4" w:space="0" w:color="000000"/>
            </w:tcBorders>
          </w:tcPr>
          <w:p>
            <w:pPr>
              <w:pStyle w:val="TableParagraph"/>
              <w:rPr>
                <w:b/>
              </w:rPr>
            </w:pPr>
            <w:r>
              <w:rPr>
                <w:b/>
                <w:spacing w:val="-2"/>
                <w:w w:val="105"/>
              </w:rPr>
              <w:t>Universidad</w:t>
            </w:r>
          </w:p>
        </w:tc>
        <w:tc>
          <w:tcPr>
            <w:tcW w:w="1772" w:type="dxa"/>
            <w:tcBorders>
              <w:top w:val="single" w:sz="4" w:space="0" w:color="000000"/>
              <w:left w:val="single" w:sz="4" w:space="0" w:color="000000"/>
              <w:bottom w:val="single" w:sz="4" w:space="0" w:color="000000"/>
              <w:right w:val="single" w:sz="4" w:space="0" w:color="000000"/>
            </w:tcBorders>
          </w:tcPr>
          <w:p>
            <w:pPr>
              <w:pStyle w:val="TableParagraph"/>
              <w:ind w:left="0"/>
              <w:jc w:val="center"/>
              <w:rPr>
                <w:b/>
              </w:rPr>
            </w:pPr>
            <w:r>
              <w:rPr>
                <w:b/>
                <w:spacing w:val="-2"/>
                <w:w w:val="115"/>
              </w:rPr>
              <w:t>Carrera</w:t>
            </w:r>
          </w:p>
        </w:tc>
        <w:tc>
          <w:tcPr>
            <w:tcW w:w="1989" w:type="dxa"/>
            <w:tcBorders>
              <w:top w:val="single" w:sz="4" w:space="0" w:color="000000"/>
              <w:left w:val="single" w:sz="4" w:space="0" w:color="000000"/>
              <w:bottom w:val="single" w:sz="4" w:space="0" w:color="000000"/>
              <w:right w:val="single" w:sz="4" w:space="0" w:color="000000"/>
            </w:tcBorders>
          </w:tcPr>
          <w:p>
            <w:pPr>
              <w:pStyle w:val="TableParagraph"/>
              <w:ind w:left="120"/>
              <w:rPr>
                <w:b/>
              </w:rPr>
            </w:pPr>
            <w:r>
              <w:rPr>
                <w:b/>
                <w:w w:val="110"/>
              </w:rPr>
              <w:t>Correo</w:t>
            </w:r>
            <w:r>
              <w:rPr>
                <w:b/>
                <w:spacing w:val="22"/>
                <w:w w:val="110"/>
              </w:rPr>
              <w:t xml:space="preserve"> </w:t>
            </w:r>
            <w:r>
              <w:rPr>
                <w:b/>
                <w:spacing w:val="-2"/>
                <w:w w:val="110"/>
              </w:rPr>
              <w:t>electrónico</w:t>
            </w:r>
          </w:p>
        </w:tc>
      </w:tr>
      <w:tr>
        <w:trPr>
          <w:trHeight w:val="268" w:hRule="atLeast"/>
        </w:trPr>
        <w:tc>
          <w:tcPr>
            <w:tcW w:w="2507" w:type="dxa"/>
            <w:tcBorders>
              <w:top w:val="single" w:sz="4" w:space="0" w:color="000000"/>
              <w:left w:val="single" w:sz="4" w:space="0" w:color="000000"/>
              <w:bottom w:val="single" w:sz="4" w:space="0" w:color="000000"/>
              <w:right w:val="single" w:sz="4" w:space="0" w:color="000000"/>
            </w:tcBorders>
          </w:tcPr>
          <w:p>
            <w:pPr>
              <w:pStyle w:val="TableParagraph"/>
              <w:rPr/>
            </w:pPr>
            <w:r>
              <w:rPr>
                <w:spacing w:val="-6"/>
              </w:rPr>
              <w:t>Malfetano,</w:t>
            </w:r>
            <w:r>
              <w:rPr>
                <w:spacing w:val="6"/>
              </w:rPr>
              <w:t xml:space="preserve"> </w:t>
            </w:r>
            <w:r>
              <w:rPr>
                <w:spacing w:val="-2"/>
              </w:rPr>
              <w:t>Franco Tomás</w:t>
            </w:r>
          </w:p>
        </w:tc>
        <w:tc>
          <w:tcPr>
            <w:tcW w:w="1568" w:type="dxa"/>
            <w:tcBorders>
              <w:top w:val="single" w:sz="4" w:space="0" w:color="000000"/>
              <w:left w:val="single" w:sz="4" w:space="0" w:color="000000"/>
              <w:bottom w:val="single" w:sz="4" w:space="0" w:color="000000"/>
              <w:right w:val="single" w:sz="4" w:space="0" w:color="000000"/>
            </w:tcBorders>
          </w:tcPr>
          <w:p>
            <w:pPr>
              <w:pStyle w:val="TableParagraph"/>
              <w:rPr/>
            </w:pPr>
            <w:r>
              <w:rPr>
                <w:spacing w:val="-2"/>
              </w:rPr>
              <w:t>UADE</w:t>
            </w:r>
          </w:p>
        </w:tc>
        <w:tc>
          <w:tcPr>
            <w:tcW w:w="1772" w:type="dxa"/>
            <w:tcBorders>
              <w:top w:val="single" w:sz="4" w:space="0" w:color="000000"/>
              <w:left w:val="single" w:sz="4" w:space="0" w:color="000000"/>
              <w:bottom w:val="single" w:sz="4" w:space="0" w:color="000000"/>
              <w:right w:val="single" w:sz="4" w:space="0" w:color="000000"/>
            </w:tcBorders>
          </w:tcPr>
          <w:p>
            <w:pPr>
              <w:pStyle w:val="TableParagraph"/>
              <w:ind w:left="0" w:right="118"/>
              <w:jc w:val="center"/>
              <w:rPr/>
            </w:pPr>
            <w:r>
              <w:rPr>
                <w:spacing w:val="-2"/>
              </w:rPr>
              <w:t>Tecnicatura en Desarrollo de Software</w:t>
            </w:r>
          </w:p>
        </w:tc>
        <w:tc>
          <w:tcPr>
            <w:tcW w:w="1989" w:type="dxa"/>
            <w:tcBorders>
              <w:top w:val="single" w:sz="4" w:space="0" w:color="000000"/>
              <w:left w:val="single" w:sz="4" w:space="0" w:color="000000"/>
              <w:bottom w:val="single" w:sz="4" w:space="0" w:color="000000"/>
              <w:right w:val="single" w:sz="4" w:space="0" w:color="000000"/>
            </w:tcBorders>
          </w:tcPr>
          <w:p>
            <w:pPr>
              <w:pStyle w:val="TableParagraph"/>
              <w:ind w:left="120"/>
              <w:rPr/>
            </w:pPr>
            <w:hyperlink r:id="rId3">
              <w:r>
                <w:rPr>
                  <w:rStyle w:val="ListLabel28"/>
                  <w:spacing w:val="-2"/>
                </w:rPr>
                <w:t>franmalfe@gmail.com</w:t>
              </w:r>
            </w:hyperlink>
          </w:p>
        </w:tc>
      </w:tr>
      <w:tr>
        <w:trPr>
          <w:trHeight w:val="268" w:hRule="atLeast"/>
        </w:trPr>
        <w:tc>
          <w:tcPr>
            <w:tcW w:w="2507" w:type="dxa"/>
            <w:tcBorders>
              <w:top w:val="single" w:sz="4" w:space="0" w:color="000000"/>
              <w:left w:val="single" w:sz="4" w:space="0" w:color="000000"/>
              <w:bottom w:val="single" w:sz="4" w:space="0" w:color="000000"/>
              <w:right w:val="single" w:sz="4" w:space="0" w:color="000000"/>
            </w:tcBorders>
          </w:tcPr>
          <w:p>
            <w:pPr>
              <w:pStyle w:val="TableParagraph"/>
              <w:rPr/>
            </w:pPr>
            <w:r>
              <w:rPr>
                <w:spacing w:val="-6"/>
              </w:rPr>
              <w:t>Iuzzolino,</w:t>
            </w:r>
            <w:r>
              <w:rPr>
                <w:spacing w:val="6"/>
              </w:rPr>
              <w:t xml:space="preserve"> </w:t>
            </w:r>
            <w:r>
              <w:rPr>
                <w:spacing w:val="-2"/>
              </w:rPr>
              <w:t>María Florencia</w:t>
            </w:r>
          </w:p>
        </w:tc>
        <w:tc>
          <w:tcPr>
            <w:tcW w:w="1568" w:type="dxa"/>
            <w:tcBorders>
              <w:top w:val="single" w:sz="4" w:space="0" w:color="000000"/>
              <w:left w:val="single" w:sz="4" w:space="0" w:color="000000"/>
              <w:bottom w:val="single" w:sz="4" w:space="0" w:color="000000"/>
              <w:right w:val="single" w:sz="4" w:space="0" w:color="000000"/>
            </w:tcBorders>
          </w:tcPr>
          <w:p>
            <w:pPr>
              <w:pStyle w:val="TableParagraph"/>
              <w:rPr/>
            </w:pPr>
            <w:r>
              <w:rPr>
                <w:spacing w:val="-2"/>
              </w:rPr>
              <w:t>UADE</w:t>
            </w:r>
          </w:p>
        </w:tc>
        <w:tc>
          <w:tcPr>
            <w:tcW w:w="1772" w:type="dxa"/>
            <w:tcBorders>
              <w:top w:val="single" w:sz="4" w:space="0" w:color="000000"/>
              <w:left w:val="single" w:sz="4" w:space="0" w:color="000000"/>
              <w:bottom w:val="single" w:sz="4" w:space="0" w:color="000000"/>
              <w:right w:val="single" w:sz="4" w:space="0" w:color="000000"/>
            </w:tcBorders>
          </w:tcPr>
          <w:p>
            <w:pPr>
              <w:pStyle w:val="TableParagraph"/>
              <w:ind w:left="0" w:right="118"/>
              <w:jc w:val="center"/>
              <w:rPr/>
            </w:pPr>
            <w:r>
              <w:rPr>
                <w:spacing w:val="-2"/>
              </w:rPr>
              <w:t>Licenciatura en gestión de tecnologías de la información</w:t>
            </w:r>
          </w:p>
        </w:tc>
        <w:tc>
          <w:tcPr>
            <w:tcW w:w="1989" w:type="dxa"/>
            <w:tcBorders>
              <w:top w:val="single" w:sz="4" w:space="0" w:color="000000"/>
              <w:left w:val="single" w:sz="4" w:space="0" w:color="000000"/>
              <w:bottom w:val="single" w:sz="4" w:space="0" w:color="000000"/>
              <w:right w:val="single" w:sz="4" w:space="0" w:color="000000"/>
            </w:tcBorders>
          </w:tcPr>
          <w:p>
            <w:pPr>
              <w:pStyle w:val="TableParagraph"/>
              <w:ind w:left="120"/>
              <w:rPr/>
            </w:pPr>
            <w:r>
              <w:rPr>
                <w:spacing w:val="-2"/>
              </w:rPr>
              <w:t>miuzzolino@uade.edu.ar</w:t>
            </w:r>
          </w:p>
        </w:tc>
      </w:tr>
      <w:tr>
        <w:trPr>
          <w:trHeight w:val="268" w:hRule="atLeast"/>
        </w:trPr>
        <w:tc>
          <w:tcPr>
            <w:tcW w:w="2507" w:type="dxa"/>
            <w:tcBorders>
              <w:top w:val="single" w:sz="4" w:space="0" w:color="000000"/>
              <w:left w:val="single" w:sz="4" w:space="0" w:color="000000"/>
              <w:bottom w:val="single" w:sz="4" w:space="0" w:color="000000"/>
              <w:right w:val="single" w:sz="4" w:space="0" w:color="000000"/>
            </w:tcBorders>
          </w:tcPr>
          <w:p>
            <w:pPr>
              <w:pStyle w:val="TableParagraph"/>
              <w:rPr/>
            </w:pPr>
            <w:r>
              <w:rPr>
                <w:spacing w:val="-6"/>
              </w:rPr>
              <w:t>Samaan Piroli,</w:t>
            </w:r>
            <w:r>
              <w:rPr>
                <w:spacing w:val="6"/>
              </w:rPr>
              <w:t xml:space="preserve"> </w:t>
            </w:r>
            <w:r>
              <w:rPr>
                <w:spacing w:val="-2"/>
              </w:rPr>
              <w:t>Teodoro</w:t>
            </w:r>
          </w:p>
        </w:tc>
        <w:tc>
          <w:tcPr>
            <w:tcW w:w="1568" w:type="dxa"/>
            <w:tcBorders>
              <w:top w:val="single" w:sz="4" w:space="0" w:color="000000"/>
              <w:left w:val="single" w:sz="4" w:space="0" w:color="000000"/>
              <w:bottom w:val="single" w:sz="4" w:space="0" w:color="000000"/>
              <w:right w:val="single" w:sz="4" w:space="0" w:color="000000"/>
            </w:tcBorders>
          </w:tcPr>
          <w:p>
            <w:pPr>
              <w:pStyle w:val="TableParagraph"/>
              <w:rPr/>
            </w:pPr>
            <w:r>
              <w:rPr>
                <w:spacing w:val="-2"/>
              </w:rPr>
              <w:t>UADE</w:t>
            </w:r>
          </w:p>
        </w:tc>
        <w:tc>
          <w:tcPr>
            <w:tcW w:w="1772" w:type="dxa"/>
            <w:tcBorders>
              <w:top w:val="single" w:sz="4" w:space="0" w:color="000000"/>
              <w:left w:val="single" w:sz="4" w:space="0" w:color="000000"/>
              <w:bottom w:val="single" w:sz="4" w:space="0" w:color="000000"/>
              <w:right w:val="single" w:sz="4" w:space="0" w:color="000000"/>
            </w:tcBorders>
          </w:tcPr>
          <w:p>
            <w:pPr>
              <w:pStyle w:val="TableParagraph"/>
              <w:ind w:left="0" w:right="118"/>
              <w:jc w:val="center"/>
              <w:rPr/>
            </w:pPr>
            <w:r>
              <w:rPr>
                <w:spacing w:val="-2"/>
              </w:rPr>
              <w:t>Licenciatura en gestión de tecnologías de la información</w:t>
            </w:r>
          </w:p>
        </w:tc>
        <w:tc>
          <w:tcPr>
            <w:tcW w:w="1989" w:type="dxa"/>
            <w:tcBorders>
              <w:top w:val="single" w:sz="4" w:space="0" w:color="000000"/>
              <w:left w:val="single" w:sz="4" w:space="0" w:color="000000"/>
              <w:bottom w:val="single" w:sz="4" w:space="0" w:color="000000"/>
              <w:right w:val="single" w:sz="4" w:space="0" w:color="000000"/>
            </w:tcBorders>
          </w:tcPr>
          <w:p>
            <w:pPr>
              <w:pStyle w:val="TableParagraph"/>
              <w:ind w:left="120"/>
              <w:rPr/>
            </w:pPr>
            <w:r>
              <w:rPr>
                <w:spacing w:val="-2"/>
              </w:rPr>
              <w:t>tsamaanpiroli@uade.edu.ar</w:t>
            </w:r>
          </w:p>
        </w:tc>
      </w:tr>
    </w:tbl>
    <w:p>
      <w:pPr>
        <w:sectPr>
          <w:headerReference w:type="even" r:id="rId4"/>
          <w:headerReference w:type="default" r:id="rId5"/>
          <w:headerReference w:type="first" r:id="rId6"/>
          <w:footerReference w:type="even" r:id="rId7"/>
          <w:footerReference w:type="default" r:id="rId8"/>
          <w:footerReference w:type="first" r:id="rId9"/>
          <w:type w:val="nextPage"/>
          <w:pgSz w:w="11906" w:h="16838"/>
          <w:pgMar w:left="1417" w:right="1559" w:gutter="0" w:header="720" w:top="1400" w:footer="720" w:bottom="777"/>
          <w:pgNumType w:fmt="decimal"/>
          <w:formProt w:val="false"/>
          <w:textDirection w:val="lrTb"/>
          <w:docGrid w:type="default" w:linePitch="100" w:charSpace="0"/>
        </w:sectPr>
      </w:pPr>
    </w:p>
    <w:p>
      <w:pPr>
        <w:pStyle w:val="Heading1"/>
        <w:tabs>
          <w:tab w:val="clear" w:pos="720"/>
          <w:tab w:val="left" w:pos="8901" w:leader="none"/>
        </w:tabs>
        <w:ind w:hanging="0" w:left="170"/>
        <w:rPr>
          <w:u w:val="none"/>
        </w:rPr>
      </w:pPr>
      <w:r>
        <w:rPr>
          <w:spacing w:val="-2"/>
          <w:w w:val="105"/>
        </w:rPr>
        <w:t>Índice</w:t>
      </w:r>
      <w:r>
        <w:rPr/>
        <w:tab/>
      </w:r>
    </w:p>
    <w:sdt>
      <w:sdtPr>
        <w:docPartObj>
          <w:docPartGallery w:val="Table of Contents"/>
          <w:docPartUnique w:val="true"/>
        </w:docPartObj>
      </w:sdtPr>
      <w:sdtContent>
        <w:p>
          <w:pPr>
            <w:pStyle w:val="TOC1"/>
            <w:tabs>
              <w:tab w:val="clear" w:pos="720"/>
              <w:tab w:val="left" w:pos="995" w:leader="none"/>
              <w:tab w:val="right" w:pos="8924" w:leader="dot"/>
            </w:tabs>
            <w:rPr>
              <w:rFonts w:ascii="Calibri" w:hAnsi="Calibri" w:eastAsia="" w:cs="" w:asciiTheme="minorHAnsi" w:cstheme="minorBidi" w:eastAsiaTheme="minorEastAsia" w:hAnsiTheme="minorHAnsi"/>
              <w:b w:val="false"/>
              <w:bCs w:val="false"/>
              <w:kern w:val="2"/>
              <w:sz w:val="24"/>
              <w:szCs w:val="24"/>
              <w:lang w:eastAsia="es-ES"/>
              <w14:ligatures w14:val="standardContextual"/>
            </w:rPr>
          </w:pPr>
          <w:r>
            <w:fldChar w:fldCharType="begin"/>
          </w:r>
          <w:r>
            <w:rPr>
              <w:webHidden/>
              <w:rStyle w:val="Enlacedelndice"/>
              <w:spacing w:val="-1"/>
              <w:w w:val="105"/>
              <w:vanish w:val="false"/>
            </w:rPr>
            <w:instrText xml:space="preserve"> TOC \z \b "cuerpo_informe" \o "1-3" \u \h</w:instrText>
          </w:r>
          <w:r>
            <w:rPr>
              <w:webHidden/>
              <w:rStyle w:val="Enlacedelndice"/>
              <w:spacing w:val="-1"/>
              <w:w w:val="105"/>
              <w:vanish w:val="false"/>
            </w:rPr>
            <w:fldChar w:fldCharType="separate"/>
          </w:r>
          <w:hyperlink w:anchor="_Toc241673379">
            <w:r>
              <w:rPr>
                <w:webHidden/>
                <w:rStyle w:val="Enlacedelndice"/>
                <w:vanish w:val="false"/>
                <w:spacing w:val="-1"/>
                <w:w w:val="105"/>
              </w:rPr>
              <w:t>1.</w:t>
            </w:r>
            <w:r>
              <w:rPr>
                <w:rStyle w:val="Enlacedelndice"/>
                <w:rFonts w:eastAsia="" w:cs="" w:ascii="Calibri" w:hAnsi="Calibri" w:asciiTheme="minorHAnsi" w:cstheme="minorBidi" w:eastAsiaTheme="minorEastAsia" w:hAnsiTheme="minorHAnsi"/>
                <w:b w:val="false"/>
                <w:bCs w:val="false"/>
                <w:kern w:val="2"/>
                <w:sz w:val="24"/>
                <w:szCs w:val="24"/>
                <w:lang w:eastAsia="es-ES"/>
                <w14:ligatures w14:val="standardContextual"/>
              </w:rPr>
              <w:tab/>
            </w:r>
            <w:r>
              <w:rPr>
                <w:rStyle w:val="Enlacedelndice"/>
              </w:rPr>
              <w:t>Descripción</w:t>
            </w:r>
            <w:r>
              <w:rPr>
                <w:rStyle w:val="Enlacedelndice"/>
                <w:spacing w:val="42"/>
              </w:rPr>
              <w:t xml:space="preserve"> </w:t>
            </w:r>
            <w:r>
              <w:rPr>
                <w:rStyle w:val="Enlacedelndice"/>
              </w:rPr>
              <w:t>del</w:t>
            </w:r>
            <w:r>
              <w:rPr>
                <w:rStyle w:val="Enlacedelndice"/>
                <w:spacing w:val="42"/>
              </w:rPr>
              <w:t xml:space="preserve"> </w:t>
            </w:r>
            <w:r>
              <w:rPr>
                <w:rStyle w:val="Enlacedelndice"/>
                <w:spacing w:val="-2"/>
              </w:rPr>
              <w:t>Desafío</w:t>
            </w:r>
            <w:r>
              <w:rPr>
                <w:webHidden/>
              </w:rPr>
              <w:fldChar w:fldCharType="begin"/>
            </w:r>
            <w:r>
              <w:rPr>
                <w:webHidden/>
              </w:rPr>
              <w:instrText xml:space="preserve">PAGEREF _Toc241673379 \h</w:instrText>
            </w:r>
            <w:r>
              <w:rPr>
                <w:webHidden/>
              </w:rPr>
              <w:fldChar w:fldCharType="separate"/>
            </w:r>
            <w:r>
              <w:rPr>
                <w:rStyle w:val="Enlacedelndice"/>
                <w:vanish w:val="false"/>
              </w:rPr>
              <w:tab/>
              <w:t>3</w:t>
            </w:r>
            <w:r>
              <w:rPr>
                <w:webHidden/>
              </w:rPr>
              <w:fldChar w:fldCharType="end"/>
            </w:r>
          </w:hyperlink>
        </w:p>
        <w:p>
          <w:pPr>
            <w:pStyle w:val="TOC1"/>
            <w:tabs>
              <w:tab w:val="clear" w:pos="720"/>
              <w:tab w:val="left" w:pos="995" w:leader="none"/>
              <w:tab w:val="right" w:pos="8924" w:leader="dot"/>
            </w:tabs>
            <w:rPr>
              <w:rFonts w:ascii="Calibri" w:hAnsi="Calibri" w:eastAsia="" w:cs="" w:asciiTheme="minorHAnsi" w:cstheme="minorBidi" w:eastAsiaTheme="minorEastAsia" w:hAnsiTheme="minorHAnsi"/>
              <w:b w:val="false"/>
              <w:bCs w:val="false"/>
              <w:kern w:val="2"/>
              <w:sz w:val="24"/>
              <w:szCs w:val="24"/>
              <w:lang w:eastAsia="es-ES"/>
              <w14:ligatures w14:val="standardContextual"/>
            </w:rPr>
          </w:pPr>
          <w:hyperlink w:anchor="_Toc241673380">
            <w:r>
              <w:rPr>
                <w:webHidden/>
                <w:rStyle w:val="Enlacedelndice"/>
                <w:vanish w:val="false"/>
                <w:spacing w:val="-1"/>
                <w:w w:val="105"/>
              </w:rPr>
              <w:t>2.</w:t>
            </w:r>
            <w:r>
              <w:rPr>
                <w:rStyle w:val="Enlacedelndice"/>
                <w:rFonts w:eastAsia="" w:cs="" w:ascii="Calibri" w:hAnsi="Calibri" w:asciiTheme="minorHAnsi" w:cstheme="minorBidi" w:eastAsiaTheme="minorEastAsia" w:hAnsiTheme="minorHAnsi"/>
                <w:b w:val="false"/>
                <w:bCs w:val="false"/>
                <w:kern w:val="2"/>
                <w:sz w:val="24"/>
                <w:szCs w:val="24"/>
                <w:lang w:eastAsia="es-ES"/>
                <w14:ligatures w14:val="standardContextual"/>
              </w:rPr>
              <w:tab/>
            </w:r>
            <w:r>
              <w:rPr>
                <w:rStyle w:val="Enlacedelndice"/>
              </w:rPr>
              <w:t>Descripción</w:t>
            </w:r>
            <w:r>
              <w:rPr>
                <w:rStyle w:val="Enlacedelndice"/>
                <w:spacing w:val="42"/>
              </w:rPr>
              <w:t xml:space="preserve"> </w:t>
            </w:r>
            <w:r>
              <w:rPr>
                <w:rStyle w:val="Enlacedelndice"/>
              </w:rPr>
              <w:t>de</w:t>
            </w:r>
            <w:r>
              <w:rPr>
                <w:rStyle w:val="Enlacedelndice"/>
                <w:spacing w:val="41"/>
              </w:rPr>
              <w:t xml:space="preserve"> </w:t>
            </w:r>
            <w:r>
              <w:rPr>
                <w:rStyle w:val="Enlacedelndice"/>
              </w:rPr>
              <w:t>la</w:t>
            </w:r>
            <w:r>
              <w:rPr>
                <w:rStyle w:val="Enlacedelndice"/>
                <w:spacing w:val="41"/>
              </w:rPr>
              <w:t xml:space="preserve"> </w:t>
            </w:r>
            <w:r>
              <w:rPr>
                <w:rStyle w:val="Enlacedelndice"/>
                <w:spacing w:val="-2"/>
              </w:rPr>
              <w:t>Solución</w:t>
            </w:r>
            <w:r>
              <w:rPr>
                <w:webHidden/>
              </w:rPr>
              <w:fldChar w:fldCharType="begin"/>
            </w:r>
            <w:r>
              <w:rPr>
                <w:webHidden/>
              </w:rPr>
              <w:instrText xml:space="preserve">PAGEREF _Toc241673380 \h</w:instrText>
            </w:r>
            <w:r>
              <w:rPr>
                <w:webHidden/>
              </w:rPr>
              <w:fldChar w:fldCharType="separate"/>
            </w:r>
            <w:r>
              <w:rPr>
                <w:rStyle w:val="Enlacedelndice"/>
                <w:vanish w:val="false"/>
              </w:rPr>
              <w:tab/>
              <w:t>4</w:t>
            </w:r>
            <w:r>
              <w:rPr>
                <w:webHidden/>
              </w:rPr>
              <w:fldChar w:fldCharType="end"/>
            </w:r>
          </w:hyperlink>
        </w:p>
        <w:p>
          <w:pPr>
            <w:pStyle w:val="TOC2"/>
            <w:tabs>
              <w:tab w:val="clear" w:pos="720"/>
              <w:tab w:val="left" w:pos="1692" w:leader="none"/>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381">
            <w:r>
              <w:rPr>
                <w:webHidden/>
                <w:rStyle w:val="Enlacedelndice"/>
                <w:vanish w:val="false"/>
                <w:w w:val="116"/>
              </w:rPr>
              <w:t>2.1</w:t>
            </w:r>
            <w:r>
              <w:rPr>
                <w:rStyle w:val="Enlacedelndice"/>
                <w:rFonts w:eastAsia="" w:cs="" w:ascii="Calibri" w:hAnsi="Calibri" w:asciiTheme="minorHAnsi" w:cstheme="minorBidi" w:eastAsiaTheme="minorEastAsia" w:hAnsiTheme="minorHAnsi"/>
                <w:kern w:val="2"/>
                <w:sz w:val="24"/>
                <w:szCs w:val="24"/>
                <w:lang w:eastAsia="es-ES"/>
                <w14:ligatures w14:val="standardContextual"/>
              </w:rPr>
              <w:tab/>
            </w:r>
            <w:r>
              <w:rPr>
                <w:rStyle w:val="Enlacedelndice"/>
                <w:w w:val="105"/>
              </w:rPr>
              <w:t>Resumen</w:t>
            </w:r>
            <w:r>
              <w:rPr>
                <w:rStyle w:val="Enlacedelndice"/>
                <w:spacing w:val="34"/>
                <w:w w:val="105"/>
              </w:rPr>
              <w:t xml:space="preserve"> </w:t>
            </w:r>
            <w:r>
              <w:rPr>
                <w:rStyle w:val="Enlacedelndice"/>
                <w:w w:val="105"/>
              </w:rPr>
              <w:t>Ejecutivo</w:t>
            </w:r>
            <w:r>
              <w:rPr>
                <w:rStyle w:val="Enlacedelndice"/>
                <w:spacing w:val="35"/>
                <w:w w:val="105"/>
              </w:rPr>
              <w:t xml:space="preserve"> </w:t>
            </w:r>
            <w:r>
              <w:rPr>
                <w:rStyle w:val="Enlacedelndice"/>
                <w:w w:val="105"/>
              </w:rPr>
              <w:t>de</w:t>
            </w:r>
            <w:r>
              <w:rPr>
                <w:rStyle w:val="Enlacedelndice"/>
                <w:spacing w:val="35"/>
                <w:w w:val="105"/>
              </w:rPr>
              <w:t xml:space="preserve"> </w:t>
            </w:r>
            <w:r>
              <w:rPr>
                <w:rStyle w:val="Enlacedelndice"/>
                <w:w w:val="105"/>
              </w:rPr>
              <w:t>la</w:t>
            </w:r>
            <w:r>
              <w:rPr>
                <w:rStyle w:val="Enlacedelndice"/>
                <w:spacing w:val="35"/>
                <w:w w:val="105"/>
              </w:rPr>
              <w:t xml:space="preserve"> </w:t>
            </w:r>
            <w:r>
              <w:rPr>
                <w:rStyle w:val="Enlacedelndice"/>
                <w:spacing w:val="-2"/>
                <w:w w:val="105"/>
              </w:rPr>
              <w:t>Solución</w:t>
            </w:r>
            <w:r>
              <w:rPr>
                <w:webHidden/>
              </w:rPr>
              <w:fldChar w:fldCharType="begin"/>
            </w:r>
            <w:r>
              <w:rPr>
                <w:webHidden/>
              </w:rPr>
              <w:instrText xml:space="preserve">PAGEREF _Toc241673381 \h</w:instrText>
            </w:r>
            <w:r>
              <w:rPr>
                <w:webHidden/>
              </w:rPr>
              <w:fldChar w:fldCharType="separate"/>
            </w:r>
            <w:r>
              <w:rPr>
                <w:rStyle w:val="Enlacedelndice"/>
                <w:vanish w:val="false"/>
              </w:rPr>
              <w:tab/>
              <w:t>4</w:t>
            </w:r>
            <w:r>
              <w:rPr>
                <w:webHidden/>
              </w:rPr>
              <w:fldChar w:fldCharType="end"/>
            </w:r>
          </w:hyperlink>
        </w:p>
        <w:p>
          <w:pPr>
            <w:pStyle w:val="TOC2"/>
            <w:tabs>
              <w:tab w:val="clear" w:pos="720"/>
              <w:tab w:val="left" w:pos="1692" w:leader="none"/>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382">
            <w:r>
              <w:rPr>
                <w:webHidden/>
                <w:rStyle w:val="Enlacedelndice"/>
                <w:vanish w:val="false"/>
                <w:w w:val="116"/>
              </w:rPr>
              <w:t>2.2</w:t>
            </w:r>
            <w:r>
              <w:rPr>
                <w:rStyle w:val="Enlacedelndice"/>
                <w:rFonts w:eastAsia="" w:cs="" w:ascii="Calibri" w:hAnsi="Calibri" w:asciiTheme="minorHAnsi" w:cstheme="minorBidi" w:eastAsiaTheme="minorEastAsia" w:hAnsiTheme="minorHAnsi"/>
                <w:kern w:val="2"/>
                <w:sz w:val="24"/>
                <w:szCs w:val="24"/>
                <w:lang w:eastAsia="es-ES"/>
                <w14:ligatures w14:val="standardContextual"/>
              </w:rPr>
              <w:tab/>
            </w:r>
            <w:r>
              <w:rPr>
                <w:rStyle w:val="Enlacedelndice"/>
                <w:w w:val="105"/>
              </w:rPr>
              <w:t>Especificaciones</w:t>
            </w:r>
            <w:r>
              <w:rPr>
                <w:rStyle w:val="Enlacedelndice"/>
                <w:spacing w:val="9"/>
                <w:w w:val="105"/>
              </w:rPr>
              <w:t xml:space="preserve"> </w:t>
            </w:r>
            <w:r>
              <w:rPr>
                <w:rStyle w:val="Enlacedelndice"/>
                <w:spacing w:val="-2"/>
                <w:w w:val="105"/>
              </w:rPr>
              <w:t>Técnicas</w:t>
            </w:r>
            <w:r>
              <w:rPr>
                <w:webHidden/>
              </w:rPr>
              <w:fldChar w:fldCharType="begin"/>
            </w:r>
            <w:r>
              <w:rPr>
                <w:webHidden/>
              </w:rPr>
              <w:instrText xml:space="preserve">PAGEREF _Toc241673382 \h</w:instrText>
            </w:r>
            <w:r>
              <w:rPr>
                <w:webHidden/>
              </w:rPr>
              <w:fldChar w:fldCharType="separate"/>
            </w:r>
            <w:r>
              <w:rPr>
                <w:rStyle w:val="Enlacedelndice"/>
                <w:vanish w:val="false"/>
              </w:rPr>
              <w:tab/>
              <w:t>4</w:t>
            </w:r>
            <w:r>
              <w:rPr>
                <w:webHidden/>
              </w:rPr>
              <w:fldChar w:fldCharType="end"/>
            </w:r>
          </w:hyperlink>
        </w:p>
        <w:p>
          <w:pPr>
            <w:pStyle w:val="TOC3"/>
            <w:tabs>
              <w:tab w:val="clear" w:pos="720"/>
              <w:tab w:val="left" w:pos="1692" w:leader="none"/>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383">
            <w:r>
              <w:rPr>
                <w:webHidden/>
                <w:rStyle w:val="Enlacedelndice"/>
                <w:vanish w:val="false"/>
                <w:w w:val="102"/>
              </w:rPr>
              <w:t>2.2.1</w:t>
            </w:r>
            <w:r>
              <w:rPr>
                <w:rStyle w:val="Enlacedelndice"/>
                <w:rFonts w:eastAsia="" w:cs="" w:ascii="Calibri" w:hAnsi="Calibri" w:asciiTheme="minorHAnsi" w:cstheme="minorBidi" w:eastAsiaTheme="minorEastAsia" w:hAnsiTheme="minorHAnsi"/>
                <w:kern w:val="2"/>
                <w:sz w:val="24"/>
                <w:szCs w:val="24"/>
                <w:lang w:eastAsia="es-ES"/>
                <w14:ligatures w14:val="standardContextual"/>
              </w:rPr>
              <w:tab/>
            </w:r>
            <w:r>
              <w:rPr>
                <w:rStyle w:val="Enlacedelndice"/>
              </w:rPr>
              <w:t>Datos y hallazgos que cambian el problema</w:t>
            </w:r>
            <w:r>
              <w:rPr>
                <w:webHidden/>
              </w:rPr>
              <w:fldChar w:fldCharType="begin"/>
            </w:r>
            <w:r>
              <w:rPr>
                <w:webHidden/>
              </w:rPr>
              <w:instrText xml:space="preserve">PAGEREF _Toc241673383 \h</w:instrText>
            </w:r>
            <w:r>
              <w:rPr>
                <w:webHidden/>
              </w:rPr>
              <w:fldChar w:fldCharType="separate"/>
            </w:r>
            <w:r>
              <w:rPr>
                <w:rStyle w:val="Enlacedelndice"/>
                <w:vanish w:val="false"/>
              </w:rPr>
              <w:tab/>
              <w:t>4</w:t>
            </w:r>
            <w:r>
              <w:rPr>
                <w:webHidden/>
              </w:rPr>
              <w:fldChar w:fldCharType="end"/>
            </w:r>
          </w:hyperlink>
        </w:p>
        <w:p>
          <w:pPr>
            <w:pStyle w:val="TOC3"/>
            <w:tabs>
              <w:tab w:val="clear" w:pos="720"/>
              <w:tab w:val="left" w:pos="1692" w:leader="none"/>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384">
            <w:r>
              <w:rPr>
                <w:webHidden/>
                <w:rStyle w:val="Enlacedelndice"/>
                <w:vanish w:val="false"/>
                <w:w w:val="102"/>
              </w:rPr>
              <w:t>2.2.2</w:t>
            </w:r>
            <w:r>
              <w:rPr>
                <w:rStyle w:val="Enlacedelndice"/>
                <w:rFonts w:eastAsia="" w:cs="" w:ascii="Calibri" w:hAnsi="Calibri" w:asciiTheme="minorHAnsi" w:cstheme="minorBidi" w:eastAsiaTheme="minorEastAsia" w:hAnsiTheme="minorHAnsi"/>
                <w:kern w:val="2"/>
                <w:sz w:val="24"/>
                <w:szCs w:val="24"/>
                <w:lang w:eastAsia="es-ES"/>
                <w14:ligatures w14:val="standardContextual"/>
              </w:rPr>
              <w:tab/>
            </w:r>
            <w:r>
              <w:rPr>
                <w:rStyle w:val="Enlacedelndice"/>
              </w:rPr>
              <w:t>Población, ventana y target</w:t>
            </w:r>
            <w:r>
              <w:rPr>
                <w:webHidden/>
              </w:rPr>
              <w:fldChar w:fldCharType="begin"/>
            </w:r>
            <w:r>
              <w:rPr>
                <w:webHidden/>
              </w:rPr>
              <w:instrText xml:space="preserve">PAGEREF _Toc241673384 \h</w:instrText>
            </w:r>
            <w:r>
              <w:rPr>
                <w:webHidden/>
              </w:rPr>
              <w:fldChar w:fldCharType="separate"/>
            </w:r>
            <w:r>
              <w:rPr>
                <w:rStyle w:val="Enlacedelndice"/>
                <w:vanish w:val="false"/>
              </w:rPr>
              <w:tab/>
              <w:t>5</w:t>
            </w:r>
            <w:r>
              <w:rPr>
                <w:webHidden/>
              </w:rPr>
              <w:fldChar w:fldCharType="end"/>
            </w:r>
          </w:hyperlink>
        </w:p>
        <w:p>
          <w:pPr>
            <w:pStyle w:val="TOC3"/>
            <w:tabs>
              <w:tab w:val="clear" w:pos="720"/>
              <w:tab w:val="left" w:pos="1692" w:leader="none"/>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385">
            <w:r>
              <w:rPr>
                <w:webHidden/>
                <w:rStyle w:val="Enlacedelndice"/>
                <w:vanish w:val="false"/>
                <w:w w:val="102"/>
              </w:rPr>
              <w:t>2.2.3</w:t>
            </w:r>
            <w:r>
              <w:rPr>
                <w:rStyle w:val="Enlacedelndice"/>
                <w:rFonts w:eastAsia="" w:cs="" w:ascii="Calibri" w:hAnsi="Calibri" w:asciiTheme="minorHAnsi" w:cstheme="minorBidi" w:eastAsiaTheme="minorEastAsia" w:hAnsiTheme="minorHAnsi"/>
                <w:kern w:val="2"/>
                <w:sz w:val="24"/>
                <w:szCs w:val="24"/>
                <w:lang w:eastAsia="es-ES"/>
                <w14:ligatures w14:val="standardContextual"/>
              </w:rPr>
              <w:tab/>
            </w:r>
            <w:r>
              <w:rPr>
                <w:rStyle w:val="Enlacedelndice"/>
              </w:rPr>
              <w:t>Features y seguridad temporal</w:t>
            </w:r>
            <w:r>
              <w:rPr>
                <w:webHidden/>
              </w:rPr>
              <w:fldChar w:fldCharType="begin"/>
            </w:r>
            <w:r>
              <w:rPr>
                <w:webHidden/>
              </w:rPr>
              <w:instrText xml:space="preserve">PAGEREF _Toc241673385 \h</w:instrText>
            </w:r>
            <w:r>
              <w:rPr>
                <w:webHidden/>
              </w:rPr>
              <w:fldChar w:fldCharType="separate"/>
            </w:r>
            <w:r>
              <w:rPr>
                <w:rStyle w:val="Enlacedelndice"/>
                <w:vanish w:val="false"/>
              </w:rPr>
              <w:tab/>
              <w:t>5</w:t>
            </w:r>
            <w:r>
              <w:rPr>
                <w:webHidden/>
              </w:rPr>
              <w:fldChar w:fldCharType="end"/>
            </w:r>
          </w:hyperlink>
        </w:p>
        <w:p>
          <w:pPr>
            <w:pStyle w:val="TOC3"/>
            <w:tabs>
              <w:tab w:val="clear" w:pos="720"/>
              <w:tab w:val="left" w:pos="1692" w:leader="none"/>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386">
            <w:r>
              <w:rPr>
                <w:webHidden/>
                <w:rStyle w:val="Enlacedelndice"/>
                <w:vanish w:val="false"/>
                <w:w w:val="102"/>
              </w:rPr>
              <w:t>2.2.4</w:t>
            </w:r>
            <w:r>
              <w:rPr>
                <w:rStyle w:val="Enlacedelndice"/>
                <w:rFonts w:eastAsia="" w:cs="" w:ascii="Calibri" w:hAnsi="Calibri" w:asciiTheme="minorHAnsi" w:cstheme="minorBidi" w:eastAsiaTheme="minorEastAsia" w:hAnsiTheme="minorHAnsi"/>
                <w:kern w:val="2"/>
                <w:sz w:val="24"/>
                <w:szCs w:val="24"/>
                <w:lang w:eastAsia="es-ES"/>
                <w14:ligatures w14:val="standardContextual"/>
              </w:rPr>
              <w:tab/>
            </w:r>
            <w:r>
              <w:rPr>
                <w:rStyle w:val="Enlacedelndice"/>
              </w:rPr>
              <w:t>Modelo, validación temporal y calibración</w:t>
            </w:r>
            <w:r>
              <w:rPr>
                <w:webHidden/>
              </w:rPr>
              <w:fldChar w:fldCharType="begin"/>
            </w:r>
            <w:r>
              <w:rPr>
                <w:webHidden/>
              </w:rPr>
              <w:instrText xml:space="preserve">PAGEREF _Toc241673386 \h</w:instrText>
            </w:r>
            <w:r>
              <w:rPr>
                <w:webHidden/>
              </w:rPr>
              <w:fldChar w:fldCharType="separate"/>
            </w:r>
            <w:r>
              <w:rPr>
                <w:rStyle w:val="Enlacedelndice"/>
                <w:vanish w:val="false"/>
              </w:rPr>
              <w:tab/>
              <w:t>6</w:t>
            </w:r>
            <w:r>
              <w:rPr>
                <w:webHidden/>
              </w:rPr>
              <w:fldChar w:fldCharType="end"/>
            </w:r>
          </w:hyperlink>
        </w:p>
        <w:p>
          <w:pPr>
            <w:pStyle w:val="TOC3"/>
            <w:tabs>
              <w:tab w:val="clear" w:pos="720"/>
              <w:tab w:val="left" w:pos="1692" w:leader="none"/>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387">
            <w:r>
              <w:rPr>
                <w:webHidden/>
                <w:rStyle w:val="Enlacedelndice"/>
                <w:vanish w:val="false"/>
                <w:w w:val="102"/>
              </w:rPr>
              <w:t>2.2.5</w:t>
            </w:r>
            <w:r>
              <w:rPr>
                <w:rStyle w:val="Enlacedelndice"/>
                <w:rFonts w:eastAsia="" w:cs="" w:ascii="Calibri" w:hAnsi="Calibri" w:asciiTheme="minorHAnsi" w:cstheme="minorBidi" w:eastAsiaTheme="minorEastAsia" w:hAnsiTheme="minorHAnsi"/>
                <w:kern w:val="2"/>
                <w:sz w:val="24"/>
                <w:szCs w:val="24"/>
                <w:lang w:eastAsia="es-ES"/>
                <w14:ligatures w14:val="standardContextual"/>
              </w:rPr>
              <w:tab/>
            </w:r>
            <w:r>
              <w:rPr>
                <w:rStyle w:val="Enlacedelndice"/>
              </w:rPr>
              <w:t>Qué explica el riesgo</w:t>
            </w:r>
            <w:r>
              <w:rPr>
                <w:webHidden/>
              </w:rPr>
              <w:fldChar w:fldCharType="begin"/>
            </w:r>
            <w:r>
              <w:rPr>
                <w:webHidden/>
              </w:rPr>
              <w:instrText xml:space="preserve">PAGEREF _Toc241673387 \h</w:instrText>
            </w:r>
            <w:r>
              <w:rPr>
                <w:webHidden/>
              </w:rPr>
              <w:fldChar w:fldCharType="separate"/>
            </w:r>
            <w:r>
              <w:rPr>
                <w:rStyle w:val="Enlacedelndice"/>
                <w:vanish w:val="false"/>
              </w:rPr>
              <w:tab/>
              <w:t>7</w:t>
            </w:r>
            <w:r>
              <w:rPr>
                <w:webHidden/>
              </w:rPr>
              <w:fldChar w:fldCharType="end"/>
            </w:r>
          </w:hyperlink>
        </w:p>
        <w:p>
          <w:pPr>
            <w:pStyle w:val="TOC3"/>
            <w:tabs>
              <w:tab w:val="clear" w:pos="720"/>
              <w:tab w:val="left" w:pos="1692" w:leader="none"/>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388">
            <w:r>
              <w:rPr>
                <w:webHidden/>
                <w:rStyle w:val="Enlacedelndice"/>
                <w:vanish w:val="false"/>
                <w:w w:val="102"/>
              </w:rPr>
              <w:t>2.2.6</w:t>
            </w:r>
            <w:r>
              <w:rPr>
                <w:rStyle w:val="Enlacedelndice"/>
                <w:rFonts w:eastAsia="" w:cs="" w:ascii="Calibri" w:hAnsi="Calibri" w:asciiTheme="minorHAnsi" w:cstheme="minorBidi" w:eastAsiaTheme="minorEastAsia" w:hAnsiTheme="minorHAnsi"/>
                <w:kern w:val="2"/>
                <w:sz w:val="24"/>
                <w:szCs w:val="24"/>
                <w:lang w:eastAsia="es-ES"/>
                <w14:ligatures w14:val="standardContextual"/>
              </w:rPr>
              <w:tab/>
            </w:r>
            <w:r>
              <w:rPr>
                <w:rStyle w:val="Enlacedelndice"/>
              </w:rPr>
              <w:t>Segmentos accionables, activación e integración</w:t>
            </w:r>
            <w:r>
              <w:rPr>
                <w:webHidden/>
              </w:rPr>
              <w:fldChar w:fldCharType="begin"/>
            </w:r>
            <w:r>
              <w:rPr>
                <w:webHidden/>
              </w:rPr>
              <w:instrText xml:space="preserve">PAGEREF _Toc241673388 \h</w:instrText>
            </w:r>
            <w:r>
              <w:rPr>
                <w:webHidden/>
              </w:rPr>
              <w:fldChar w:fldCharType="separate"/>
            </w:r>
            <w:r>
              <w:rPr>
                <w:rStyle w:val="Enlacedelndice"/>
                <w:vanish w:val="false"/>
              </w:rPr>
              <w:tab/>
              <w:t>7</w:t>
            </w:r>
            <w:r>
              <w:rPr>
                <w:webHidden/>
              </w:rPr>
              <w:fldChar w:fldCharType="end"/>
            </w:r>
          </w:hyperlink>
        </w:p>
        <w:p>
          <w:pPr>
            <w:pStyle w:val="TOC3"/>
            <w:tabs>
              <w:tab w:val="clear" w:pos="720"/>
              <w:tab w:val="left" w:pos="1692" w:leader="none"/>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389">
            <w:r>
              <w:rPr>
                <w:webHidden/>
                <w:rStyle w:val="Enlacedelndice"/>
                <w:vanish w:val="false"/>
                <w:w w:val="102"/>
              </w:rPr>
              <w:t>2.2.7</w:t>
            </w:r>
            <w:r>
              <w:rPr>
                <w:rStyle w:val="Enlacedelndice"/>
                <w:rFonts w:eastAsia="" w:cs="" w:ascii="Calibri" w:hAnsi="Calibri" w:asciiTheme="minorHAnsi" w:cstheme="minorBidi" w:eastAsiaTheme="minorEastAsia" w:hAnsiTheme="minorHAnsi"/>
                <w:kern w:val="2"/>
                <w:sz w:val="24"/>
                <w:szCs w:val="24"/>
                <w:lang w:eastAsia="es-ES"/>
                <w14:ligatures w14:val="standardContextual"/>
              </w:rPr>
              <w:tab/>
            </w:r>
            <w:r>
              <w:rPr>
                <w:rStyle w:val="Enlacedelndice"/>
              </w:rPr>
              <w:t>Recompra observable: evidencia complementaria</w:t>
            </w:r>
            <w:r>
              <w:rPr>
                <w:webHidden/>
              </w:rPr>
              <w:fldChar w:fldCharType="begin"/>
            </w:r>
            <w:r>
              <w:rPr>
                <w:webHidden/>
              </w:rPr>
              <w:instrText xml:space="preserve">PAGEREF _Toc241673389 \h</w:instrText>
            </w:r>
            <w:r>
              <w:rPr>
                <w:webHidden/>
              </w:rPr>
              <w:fldChar w:fldCharType="separate"/>
            </w:r>
            <w:r>
              <w:rPr>
                <w:rStyle w:val="Enlacedelndice"/>
                <w:vanish w:val="false"/>
              </w:rPr>
              <w:tab/>
              <w:t>8</w:t>
            </w:r>
            <w:r>
              <w:rPr>
                <w:webHidden/>
              </w:rPr>
              <w:fldChar w:fldCharType="end"/>
            </w:r>
          </w:hyperlink>
        </w:p>
        <w:p>
          <w:pPr>
            <w:pStyle w:val="TOC3"/>
            <w:tabs>
              <w:tab w:val="clear" w:pos="720"/>
              <w:tab w:val="left" w:pos="1692" w:leader="none"/>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390">
            <w:r>
              <w:rPr>
                <w:webHidden/>
                <w:rStyle w:val="Enlacedelndice"/>
                <w:vanish w:val="false"/>
                <w:w w:val="102"/>
              </w:rPr>
              <w:t>2.2.8</w:t>
            </w:r>
            <w:r>
              <w:rPr>
                <w:rStyle w:val="Enlacedelndice"/>
                <w:rFonts w:eastAsia="" w:cs="" w:ascii="Calibri" w:hAnsi="Calibri" w:asciiTheme="minorHAnsi" w:cstheme="minorBidi" w:eastAsiaTheme="minorEastAsia" w:hAnsiTheme="minorHAnsi"/>
                <w:kern w:val="2"/>
                <w:sz w:val="24"/>
                <w:szCs w:val="24"/>
                <w:lang w:eastAsia="es-ES"/>
                <w14:ligatures w14:val="standardContextual"/>
              </w:rPr>
              <w:tab/>
            </w:r>
            <w:r>
              <w:rPr>
                <w:rStyle w:val="Enlacedelndice"/>
              </w:rPr>
              <w:t>Reproducibilidad</w:t>
            </w:r>
            <w:r>
              <w:rPr>
                <w:webHidden/>
              </w:rPr>
              <w:fldChar w:fldCharType="begin"/>
            </w:r>
            <w:r>
              <w:rPr>
                <w:webHidden/>
              </w:rPr>
              <w:instrText xml:space="preserve">PAGEREF _Toc241673390 \h</w:instrText>
            </w:r>
            <w:r>
              <w:rPr>
                <w:webHidden/>
              </w:rPr>
              <w:fldChar w:fldCharType="separate"/>
            </w:r>
            <w:r>
              <w:rPr>
                <w:rStyle w:val="Enlacedelndice"/>
                <w:vanish w:val="false"/>
              </w:rPr>
              <w:tab/>
              <w:t>8</w:t>
            </w:r>
            <w:r>
              <w:rPr>
                <w:webHidden/>
              </w:rPr>
              <w:fldChar w:fldCharType="end"/>
            </w:r>
          </w:hyperlink>
        </w:p>
        <w:p>
          <w:pPr>
            <w:pStyle w:val="TOC3"/>
            <w:tabs>
              <w:tab w:val="clear" w:pos="720"/>
              <w:tab w:val="left" w:pos="1692" w:leader="none"/>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391">
            <w:r>
              <w:rPr>
                <w:webHidden/>
                <w:rStyle w:val="Enlacedelndice"/>
                <w:vanish w:val="false"/>
                <w:w w:val="102"/>
              </w:rPr>
              <w:t>2.2.9</w:t>
            </w:r>
            <w:r>
              <w:rPr>
                <w:rStyle w:val="Enlacedelndice"/>
                <w:rFonts w:eastAsia="" w:cs="" w:ascii="Calibri" w:hAnsi="Calibri" w:asciiTheme="minorHAnsi" w:cstheme="minorBidi" w:eastAsiaTheme="minorEastAsia" w:hAnsiTheme="minorHAnsi"/>
                <w:kern w:val="2"/>
                <w:sz w:val="24"/>
                <w:szCs w:val="24"/>
                <w:lang w:eastAsia="es-ES"/>
                <w14:ligatures w14:val="standardContextual"/>
              </w:rPr>
              <w:tab/>
            </w:r>
            <w:r>
              <w:rPr>
                <w:rStyle w:val="Enlacedelndice"/>
                <w:spacing w:val="-7"/>
              </w:rPr>
              <w:t>Información</w:t>
            </w:r>
            <w:r>
              <w:rPr>
                <w:rStyle w:val="Enlacedelndice"/>
                <w:spacing w:val="23"/>
              </w:rPr>
              <w:t xml:space="preserve"> </w:t>
            </w:r>
            <w:r>
              <w:rPr>
                <w:rStyle w:val="Enlacedelndice"/>
                <w:spacing w:val="-2"/>
              </w:rPr>
              <w:t>Complementaria</w:t>
            </w:r>
            <w:r>
              <w:rPr>
                <w:webHidden/>
              </w:rPr>
              <w:fldChar w:fldCharType="begin"/>
            </w:r>
            <w:r>
              <w:rPr>
                <w:webHidden/>
              </w:rPr>
              <w:instrText xml:space="preserve">PAGEREF _Toc241673391 \h</w:instrText>
            </w:r>
            <w:r>
              <w:rPr>
                <w:webHidden/>
              </w:rPr>
              <w:fldChar w:fldCharType="separate"/>
            </w:r>
            <w:r>
              <w:rPr>
                <w:rStyle w:val="Enlacedelndice"/>
                <w:vanish w:val="false"/>
              </w:rPr>
              <w:tab/>
              <w:t>8</w:t>
            </w:r>
            <w:r>
              <w:rPr>
                <w:webHidden/>
              </w:rPr>
              <w:fldChar w:fldCharType="end"/>
            </w:r>
          </w:hyperlink>
        </w:p>
        <w:p>
          <w:pPr>
            <w:pStyle w:val="TOC2"/>
            <w:tabs>
              <w:tab w:val="clear" w:pos="720"/>
              <w:tab w:val="left" w:pos="1692" w:leader="none"/>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392">
            <w:r>
              <w:rPr>
                <w:webHidden/>
                <w:rStyle w:val="Enlacedelndice"/>
                <w:vanish w:val="false"/>
                <w:w w:val="116"/>
              </w:rPr>
              <w:t>2.3</w:t>
            </w:r>
            <w:r>
              <w:rPr>
                <w:rStyle w:val="Enlacedelndice"/>
                <w:rFonts w:eastAsia="" w:cs="" w:ascii="Calibri" w:hAnsi="Calibri" w:asciiTheme="minorHAnsi" w:cstheme="minorBidi" w:eastAsiaTheme="minorEastAsia" w:hAnsiTheme="minorHAnsi"/>
                <w:kern w:val="2"/>
                <w:sz w:val="24"/>
                <w:szCs w:val="24"/>
                <w:lang w:eastAsia="es-ES"/>
                <w14:ligatures w14:val="standardContextual"/>
              </w:rPr>
              <w:tab/>
            </w:r>
            <w:r>
              <w:rPr>
                <w:rStyle w:val="Enlacedelndice"/>
                <w:w w:val="105"/>
              </w:rPr>
              <w:t>Seguridad</w:t>
            </w:r>
            <w:r>
              <w:rPr>
                <w:rStyle w:val="Enlacedelndice"/>
                <w:spacing w:val="23"/>
                <w:w w:val="105"/>
              </w:rPr>
              <w:t xml:space="preserve"> y Privacidad</w:t>
            </w:r>
            <w:r>
              <w:rPr>
                <w:webHidden/>
              </w:rPr>
              <w:fldChar w:fldCharType="begin"/>
            </w:r>
            <w:r>
              <w:rPr>
                <w:webHidden/>
              </w:rPr>
              <w:instrText xml:space="preserve">PAGEREF _Toc241673392 \h</w:instrText>
            </w:r>
            <w:r>
              <w:rPr>
                <w:webHidden/>
              </w:rPr>
              <w:fldChar w:fldCharType="separate"/>
            </w:r>
            <w:r>
              <w:rPr>
                <w:rStyle w:val="Enlacedelndice"/>
                <w:vanish w:val="false"/>
              </w:rPr>
              <w:tab/>
              <w:t>9</w:t>
            </w:r>
            <w:r>
              <w:rPr>
                <w:webHidden/>
              </w:rPr>
              <w:fldChar w:fldCharType="end"/>
            </w:r>
          </w:hyperlink>
        </w:p>
        <w:p>
          <w:pPr>
            <w:pStyle w:val="TOC1"/>
            <w:tabs>
              <w:tab w:val="clear" w:pos="720"/>
              <w:tab w:val="left" w:pos="995" w:leader="none"/>
              <w:tab w:val="right" w:pos="8924" w:leader="dot"/>
            </w:tabs>
            <w:rPr>
              <w:rFonts w:ascii="Calibri" w:hAnsi="Calibri" w:eastAsia="" w:cs="" w:asciiTheme="minorHAnsi" w:cstheme="minorBidi" w:eastAsiaTheme="minorEastAsia" w:hAnsiTheme="minorHAnsi"/>
              <w:b w:val="false"/>
              <w:bCs w:val="false"/>
              <w:kern w:val="2"/>
              <w:sz w:val="24"/>
              <w:szCs w:val="24"/>
              <w:lang w:eastAsia="es-ES"/>
              <w14:ligatures w14:val="standardContextual"/>
            </w:rPr>
          </w:pPr>
          <w:hyperlink w:anchor="_Toc241673393">
            <w:r>
              <w:rPr>
                <w:webHidden/>
                <w:rStyle w:val="Enlacedelndice"/>
                <w:vanish w:val="false"/>
                <w:spacing w:val="-1"/>
                <w:w w:val="105"/>
              </w:rPr>
              <w:t>3.</w:t>
            </w:r>
            <w:r>
              <w:rPr>
                <w:rStyle w:val="Enlacedelndice"/>
                <w:rFonts w:eastAsia="" w:cs="" w:ascii="Calibri" w:hAnsi="Calibri" w:asciiTheme="minorHAnsi" w:cstheme="minorBidi" w:eastAsiaTheme="minorEastAsia" w:hAnsiTheme="minorHAnsi"/>
                <w:b w:val="false"/>
                <w:bCs w:val="false"/>
                <w:kern w:val="2"/>
                <w:sz w:val="24"/>
                <w:szCs w:val="24"/>
                <w:lang w:eastAsia="es-ES"/>
                <w14:ligatures w14:val="standardContextual"/>
              </w:rPr>
              <w:tab/>
            </w:r>
            <w:r>
              <w:rPr>
                <w:rStyle w:val="Enlacedelndice"/>
                <w:w w:val="105"/>
              </w:rPr>
              <w:t>Factibilidad</w:t>
            </w:r>
            <w:r>
              <w:rPr>
                <w:rStyle w:val="Enlacedelndice"/>
                <w:spacing w:val="20"/>
                <w:w w:val="105"/>
              </w:rPr>
              <w:t xml:space="preserve"> </w:t>
            </w:r>
            <w:r>
              <w:rPr>
                <w:rStyle w:val="Enlacedelndice"/>
                <w:spacing w:val="-2"/>
                <w:w w:val="105"/>
              </w:rPr>
              <w:t>Económica</w:t>
            </w:r>
            <w:r>
              <w:rPr>
                <w:webHidden/>
              </w:rPr>
              <w:fldChar w:fldCharType="begin"/>
            </w:r>
            <w:r>
              <w:rPr>
                <w:webHidden/>
              </w:rPr>
              <w:instrText xml:space="preserve">PAGEREF _Toc241673393 \h</w:instrText>
            </w:r>
            <w:r>
              <w:rPr>
                <w:webHidden/>
              </w:rPr>
              <w:fldChar w:fldCharType="separate"/>
            </w:r>
            <w:r>
              <w:rPr>
                <w:rStyle w:val="Enlacedelndice"/>
                <w:vanish w:val="false"/>
              </w:rPr>
              <w:tab/>
              <w:t>11</w:t>
            </w:r>
            <w:r>
              <w:rPr>
                <w:webHidden/>
              </w:rPr>
              <w:fldChar w:fldCharType="end"/>
            </w:r>
          </w:hyperlink>
        </w:p>
        <w:p>
          <w:pPr>
            <w:pStyle w:val="TOC1"/>
            <w:tabs>
              <w:tab w:val="clear" w:pos="720"/>
              <w:tab w:val="left" w:pos="995" w:leader="none"/>
              <w:tab w:val="right" w:pos="8924" w:leader="dot"/>
            </w:tabs>
            <w:rPr>
              <w:rFonts w:ascii="Calibri" w:hAnsi="Calibri" w:eastAsia="" w:cs="" w:asciiTheme="minorHAnsi" w:cstheme="minorBidi" w:eastAsiaTheme="minorEastAsia" w:hAnsiTheme="minorHAnsi"/>
              <w:b w:val="false"/>
              <w:bCs w:val="false"/>
              <w:kern w:val="2"/>
              <w:sz w:val="24"/>
              <w:szCs w:val="24"/>
              <w:lang w:eastAsia="es-ES"/>
              <w14:ligatures w14:val="standardContextual"/>
            </w:rPr>
          </w:pPr>
          <w:hyperlink w:anchor="_Toc241673394">
            <w:r>
              <w:rPr>
                <w:webHidden/>
                <w:rStyle w:val="Enlacedelndice"/>
                <w:vanish w:val="false"/>
                <w:spacing w:val="-1"/>
                <w:w w:val="105"/>
              </w:rPr>
              <w:t>4.</w:t>
            </w:r>
            <w:r>
              <w:rPr>
                <w:rStyle w:val="Enlacedelndice"/>
                <w:rFonts w:eastAsia="" w:cs="" w:ascii="Calibri" w:hAnsi="Calibri" w:asciiTheme="minorHAnsi" w:cstheme="minorBidi" w:eastAsiaTheme="minorEastAsia" w:hAnsiTheme="minorHAnsi"/>
                <w:b w:val="false"/>
                <w:bCs w:val="false"/>
                <w:kern w:val="2"/>
                <w:sz w:val="24"/>
                <w:szCs w:val="24"/>
                <w:lang w:eastAsia="es-ES"/>
                <w14:ligatures w14:val="standardContextual"/>
              </w:rPr>
              <w:tab/>
            </w:r>
            <w:r>
              <w:rPr>
                <w:rStyle w:val="Enlacedelndice"/>
                <w:w w:val="105"/>
              </w:rPr>
              <w:t>Valor</w:t>
            </w:r>
            <w:r>
              <w:rPr>
                <w:rStyle w:val="Enlacedelndice"/>
                <w:spacing w:val="9"/>
                <w:w w:val="105"/>
              </w:rPr>
              <w:t xml:space="preserve"> </w:t>
            </w:r>
            <w:r>
              <w:rPr>
                <w:rStyle w:val="Enlacedelndice"/>
                <w:w w:val="105"/>
              </w:rPr>
              <w:t>Diferencial</w:t>
            </w:r>
            <w:r>
              <w:rPr>
                <w:rStyle w:val="Enlacedelndice"/>
                <w:spacing w:val="8"/>
                <w:w w:val="105"/>
              </w:rPr>
              <w:t xml:space="preserve"> </w:t>
            </w:r>
            <w:r>
              <w:rPr>
                <w:rStyle w:val="Enlacedelndice"/>
                <w:w w:val="105"/>
              </w:rPr>
              <w:t>e</w:t>
            </w:r>
            <w:r>
              <w:rPr>
                <w:rStyle w:val="Enlacedelndice"/>
                <w:spacing w:val="9"/>
                <w:w w:val="105"/>
              </w:rPr>
              <w:t xml:space="preserve"> </w:t>
            </w:r>
            <w:r>
              <w:rPr>
                <w:rStyle w:val="Enlacedelndice"/>
                <w:spacing w:val="-2"/>
                <w:w w:val="105"/>
              </w:rPr>
              <w:t>Innovación</w:t>
            </w:r>
            <w:r>
              <w:rPr>
                <w:webHidden/>
              </w:rPr>
              <w:fldChar w:fldCharType="begin"/>
            </w:r>
            <w:r>
              <w:rPr>
                <w:webHidden/>
              </w:rPr>
              <w:instrText xml:space="preserve">PAGEREF _Toc241673394 \h</w:instrText>
            </w:r>
            <w:r>
              <w:rPr>
                <w:webHidden/>
              </w:rPr>
              <w:fldChar w:fldCharType="separate"/>
            </w:r>
            <w:r>
              <w:rPr>
                <w:rStyle w:val="Enlacedelndice"/>
                <w:vanish w:val="false"/>
              </w:rPr>
              <w:tab/>
              <w:t>12</w:t>
            </w:r>
            <w:r>
              <w:rPr>
                <w:webHidden/>
              </w:rPr>
              <w:fldChar w:fldCharType="end"/>
            </w:r>
          </w:hyperlink>
        </w:p>
        <w:p>
          <w:pPr>
            <w:pStyle w:val="TOC1"/>
            <w:tabs>
              <w:tab w:val="clear" w:pos="720"/>
              <w:tab w:val="left" w:pos="995" w:leader="none"/>
              <w:tab w:val="right" w:pos="8924" w:leader="dot"/>
            </w:tabs>
            <w:rPr>
              <w:rFonts w:ascii="Calibri" w:hAnsi="Calibri" w:eastAsia="" w:cs="" w:asciiTheme="minorHAnsi" w:cstheme="minorBidi" w:eastAsiaTheme="minorEastAsia" w:hAnsiTheme="minorHAnsi"/>
              <w:b w:val="false"/>
              <w:bCs w:val="false"/>
              <w:kern w:val="2"/>
              <w:sz w:val="24"/>
              <w:szCs w:val="24"/>
              <w:lang w:eastAsia="es-ES"/>
              <w14:ligatures w14:val="standardContextual"/>
            </w:rPr>
          </w:pPr>
          <w:hyperlink w:anchor="_Toc241673395">
            <w:r>
              <w:rPr>
                <w:webHidden/>
                <w:rStyle w:val="Enlacedelndice"/>
                <w:vanish w:val="false"/>
                <w:spacing w:val="-1"/>
                <w:w w:val="105"/>
              </w:rPr>
              <w:t>5.</w:t>
            </w:r>
            <w:r>
              <w:rPr>
                <w:rStyle w:val="Enlacedelndice"/>
                <w:rFonts w:eastAsia="" w:cs="" w:ascii="Calibri" w:hAnsi="Calibri" w:asciiTheme="minorHAnsi" w:cstheme="minorBidi" w:eastAsiaTheme="minorEastAsia" w:hAnsiTheme="minorHAnsi"/>
                <w:b w:val="false"/>
                <w:bCs w:val="false"/>
                <w:kern w:val="2"/>
                <w:sz w:val="24"/>
                <w:szCs w:val="24"/>
                <w:lang w:eastAsia="es-ES"/>
                <w14:ligatures w14:val="standardContextual"/>
              </w:rPr>
              <w:tab/>
            </w:r>
            <w:r>
              <w:rPr>
                <w:rStyle w:val="Enlacedelndice"/>
                <w:spacing w:val="-2"/>
                <w:w w:val="110"/>
              </w:rPr>
              <w:t>Trabajo</w:t>
            </w:r>
            <w:r>
              <w:rPr>
                <w:rStyle w:val="Enlacedelndice"/>
                <w:spacing w:val="13"/>
                <w:w w:val="110"/>
              </w:rPr>
              <w:t xml:space="preserve"> </w:t>
            </w:r>
            <w:r>
              <w:rPr>
                <w:rStyle w:val="Enlacedelndice"/>
                <w:spacing w:val="-2"/>
                <w:w w:val="110"/>
              </w:rPr>
              <w:t>Futuro</w:t>
            </w:r>
            <w:r>
              <w:rPr>
                <w:webHidden/>
              </w:rPr>
              <w:fldChar w:fldCharType="begin"/>
            </w:r>
            <w:r>
              <w:rPr>
                <w:webHidden/>
              </w:rPr>
              <w:instrText xml:space="preserve">PAGEREF _Toc241673395 \h</w:instrText>
            </w:r>
            <w:r>
              <w:rPr>
                <w:webHidden/>
              </w:rPr>
              <w:fldChar w:fldCharType="separate"/>
            </w:r>
            <w:r>
              <w:rPr>
                <w:rStyle w:val="Enlacedelndice"/>
                <w:vanish w:val="false"/>
              </w:rPr>
              <w:tab/>
              <w:t>13</w:t>
            </w:r>
            <w:r>
              <w:rPr>
                <w:webHidden/>
              </w:rPr>
              <w:fldChar w:fldCharType="end"/>
            </w:r>
          </w:hyperlink>
        </w:p>
        <w:p>
          <w:pPr>
            <w:pStyle w:val="TOC1"/>
            <w:tabs>
              <w:tab w:val="clear" w:pos="720"/>
              <w:tab w:val="left" w:pos="995" w:leader="none"/>
              <w:tab w:val="right" w:pos="8924" w:leader="dot"/>
            </w:tabs>
            <w:rPr>
              <w:rFonts w:ascii="Calibri" w:hAnsi="Calibri" w:eastAsia="" w:cs="" w:asciiTheme="minorHAnsi" w:cstheme="minorBidi" w:eastAsiaTheme="minorEastAsia" w:hAnsiTheme="minorHAnsi"/>
              <w:b w:val="false"/>
              <w:bCs w:val="false"/>
              <w:kern w:val="2"/>
              <w:sz w:val="24"/>
              <w:szCs w:val="24"/>
              <w:lang w:eastAsia="es-ES"/>
              <w14:ligatures w14:val="standardContextual"/>
            </w:rPr>
          </w:pPr>
          <w:hyperlink w:anchor="_Toc241673396">
            <w:r>
              <w:rPr>
                <w:webHidden/>
                <w:rStyle w:val="Enlacedelndice"/>
                <w:vanish w:val="false"/>
                <w:spacing w:val="-1"/>
                <w:w w:val="105"/>
              </w:rPr>
              <w:t>6.</w:t>
            </w:r>
            <w:r>
              <w:rPr>
                <w:rStyle w:val="Enlacedelndice"/>
                <w:rFonts w:eastAsia="" w:cs="" w:ascii="Calibri" w:hAnsi="Calibri" w:asciiTheme="minorHAnsi" w:cstheme="minorBidi" w:eastAsiaTheme="minorEastAsia" w:hAnsiTheme="minorHAnsi"/>
                <w:b w:val="false"/>
                <w:bCs w:val="false"/>
                <w:kern w:val="2"/>
                <w:sz w:val="24"/>
                <w:szCs w:val="24"/>
                <w:lang w:eastAsia="es-ES"/>
                <w14:ligatures w14:val="standardContextual"/>
              </w:rPr>
              <w:tab/>
            </w:r>
            <w:r>
              <w:rPr>
                <w:rStyle w:val="Enlacedelndice"/>
                <w:spacing w:val="-2"/>
              </w:rPr>
              <w:t>Conclusiones</w:t>
            </w:r>
            <w:r>
              <w:rPr>
                <w:webHidden/>
              </w:rPr>
              <w:fldChar w:fldCharType="begin"/>
            </w:r>
            <w:r>
              <w:rPr>
                <w:webHidden/>
              </w:rPr>
              <w:instrText xml:space="preserve">PAGEREF _Toc241673396 \h</w:instrText>
            </w:r>
            <w:r>
              <w:rPr>
                <w:webHidden/>
              </w:rPr>
              <w:fldChar w:fldCharType="separate"/>
            </w:r>
            <w:r>
              <w:rPr>
                <w:rStyle w:val="Enlacedelndice"/>
                <w:vanish w:val="false"/>
              </w:rPr>
              <w:tab/>
              <w:t>14</w:t>
            </w:r>
            <w:r>
              <w:rPr>
                <w:webHidden/>
              </w:rPr>
              <w:fldChar w:fldCharType="end"/>
            </w:r>
          </w:hyperlink>
        </w:p>
        <w:p>
          <w:pPr>
            <w:pStyle w:val="TOC1"/>
            <w:tabs>
              <w:tab w:val="clear" w:pos="720"/>
              <w:tab w:val="right" w:pos="8924" w:leader="dot"/>
            </w:tabs>
            <w:rPr>
              <w:rFonts w:ascii="Calibri" w:hAnsi="Calibri" w:eastAsia="" w:cs="" w:asciiTheme="minorHAnsi" w:cstheme="minorBidi" w:eastAsiaTheme="minorEastAsia" w:hAnsiTheme="minorHAnsi"/>
              <w:b w:val="false"/>
              <w:bCs w:val="false"/>
              <w:kern w:val="2"/>
              <w:sz w:val="24"/>
              <w:szCs w:val="24"/>
              <w:lang w:eastAsia="es-ES"/>
              <w14:ligatures w14:val="standardContextual"/>
            </w:rPr>
          </w:pPr>
          <w:hyperlink w:anchor="_Toc241673397">
            <w:r>
              <w:rPr>
                <w:webHidden/>
              </w:rPr>
              <w:fldChar w:fldCharType="begin"/>
            </w:r>
            <w:r>
              <w:rPr>
                <w:webHidden/>
              </w:rPr>
              <w:instrText xml:space="preserve">PAGEREF _Toc241673397 \h</w:instrText>
            </w:r>
            <w:r>
              <w:rPr>
                <w:webHidden/>
              </w:rPr>
              <w:fldChar w:fldCharType="separate"/>
            </w:r>
            <w:r>
              <w:rPr>
                <w:webHidden/>
                <w:rStyle w:val="Enlacedelndice"/>
                <w:vanish w:val="false"/>
              </w:rPr>
              <w:t>Anexos</w:t>
              <w:tab/>
              <w:t>15</w:t>
            </w:r>
            <w:r>
              <w:rPr>
                <w:webHidden/>
              </w:rPr>
              <w:fldChar w:fldCharType="end"/>
            </w:r>
          </w:hyperlink>
        </w:p>
        <w:p>
          <w:pPr>
            <w:pStyle w:val="TOC2"/>
            <w:tabs>
              <w:tab w:val="clear" w:pos="720"/>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398">
            <w:r>
              <w:rPr>
                <w:webHidden/>
              </w:rPr>
              <w:fldChar w:fldCharType="begin"/>
            </w:r>
            <w:r>
              <w:rPr>
                <w:webHidden/>
              </w:rPr>
              <w:instrText xml:space="preserve">PAGEREF _Toc241673398 \h</w:instrText>
            </w:r>
            <w:r>
              <w:rPr>
                <w:webHidden/>
              </w:rPr>
              <w:fldChar w:fldCharType="separate"/>
            </w:r>
            <w:r>
              <w:rPr>
                <w:webHidden/>
                <w:rStyle w:val="Enlacedelndice"/>
                <w:vanish w:val="false"/>
              </w:rPr>
              <w:t>Anexo A. Datos recibidos</w:t>
              <w:tab/>
              <w:t>15</w:t>
            </w:r>
            <w:r>
              <w:rPr>
                <w:webHidden/>
              </w:rPr>
              <w:fldChar w:fldCharType="end"/>
            </w:r>
          </w:hyperlink>
        </w:p>
        <w:p>
          <w:pPr>
            <w:pStyle w:val="TOC2"/>
            <w:tabs>
              <w:tab w:val="clear" w:pos="720"/>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399">
            <w:r>
              <w:rPr>
                <w:webHidden/>
              </w:rPr>
              <w:fldChar w:fldCharType="begin"/>
            </w:r>
            <w:r>
              <w:rPr>
                <w:webHidden/>
              </w:rPr>
              <w:instrText xml:space="preserve">PAGEREF _Toc241673399 \h</w:instrText>
            </w:r>
            <w:r>
              <w:rPr>
                <w:webHidden/>
              </w:rPr>
              <w:fldChar w:fldCharType="separate"/>
            </w:r>
            <w:r>
              <w:rPr>
                <w:webHidden/>
                <w:rStyle w:val="Enlacedelndice"/>
                <w:vanish w:val="false"/>
              </w:rPr>
              <w:t>Anexo B. Hallazgos del análisis exploratorio, con cifras</w:t>
              <w:tab/>
              <w:t>15</w:t>
            </w:r>
            <w:r>
              <w:rPr>
                <w:webHidden/>
              </w:rPr>
              <w:fldChar w:fldCharType="end"/>
            </w:r>
          </w:hyperlink>
        </w:p>
        <w:p>
          <w:pPr>
            <w:pStyle w:val="TOC2"/>
            <w:tabs>
              <w:tab w:val="clear" w:pos="720"/>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400">
            <w:r>
              <w:rPr>
                <w:webHidden/>
              </w:rPr>
              <w:fldChar w:fldCharType="begin"/>
            </w:r>
            <w:r>
              <w:rPr>
                <w:webHidden/>
              </w:rPr>
              <w:instrText xml:space="preserve">PAGEREF _Toc241673400 \h</w:instrText>
            </w:r>
            <w:r>
              <w:rPr>
                <w:webHidden/>
              </w:rPr>
              <w:fldChar w:fldCharType="separate"/>
            </w:r>
            <w:r>
              <w:rPr>
                <w:webHidden/>
                <w:rStyle w:val="Enlacedelndice"/>
                <w:vanish w:val="false"/>
              </w:rPr>
              <w:t>Anexo C. Población, ventana y target</w:t>
              <w:tab/>
              <w:t>16</w:t>
            </w:r>
            <w:r>
              <w:rPr>
                <w:webHidden/>
              </w:rPr>
              <w:fldChar w:fldCharType="end"/>
            </w:r>
          </w:hyperlink>
        </w:p>
        <w:p>
          <w:pPr>
            <w:pStyle w:val="TOC2"/>
            <w:tabs>
              <w:tab w:val="clear" w:pos="720"/>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401">
            <w:r>
              <w:rPr>
                <w:webHidden/>
              </w:rPr>
              <w:fldChar w:fldCharType="begin"/>
            </w:r>
            <w:r>
              <w:rPr>
                <w:webHidden/>
              </w:rPr>
              <w:instrText xml:space="preserve">PAGEREF _Toc241673401 \h</w:instrText>
            </w:r>
            <w:r>
              <w:rPr>
                <w:webHidden/>
              </w:rPr>
              <w:fldChar w:fldCharType="separate"/>
            </w:r>
            <w:r>
              <w:rPr>
                <w:webHidden/>
                <w:rStyle w:val="Enlacedelndice"/>
                <w:vanish w:val="false"/>
              </w:rPr>
              <w:t>Anexo D. Features y validación temporal</w:t>
              <w:tab/>
              <w:t>17</w:t>
            </w:r>
            <w:r>
              <w:rPr>
                <w:webHidden/>
              </w:rPr>
              <w:fldChar w:fldCharType="end"/>
            </w:r>
          </w:hyperlink>
        </w:p>
        <w:p>
          <w:pPr>
            <w:pStyle w:val="TOC2"/>
            <w:tabs>
              <w:tab w:val="clear" w:pos="720"/>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402">
            <w:r>
              <w:rPr>
                <w:webHidden/>
              </w:rPr>
              <w:fldChar w:fldCharType="begin"/>
            </w:r>
            <w:r>
              <w:rPr>
                <w:webHidden/>
              </w:rPr>
              <w:instrText xml:space="preserve">PAGEREF _Toc241673402 \h</w:instrText>
            </w:r>
            <w:r>
              <w:rPr>
                <w:webHidden/>
              </w:rPr>
              <w:fldChar w:fldCharType="separate"/>
            </w:r>
            <w:r>
              <w:rPr>
                <w:webHidden/>
                <w:rStyle w:val="Enlacedelndice"/>
                <w:vanish w:val="false"/>
              </w:rPr>
              <w:t>Anexo E. Resultados completos</w:t>
              <w:tab/>
              <w:t>17</w:t>
            </w:r>
            <w:r>
              <w:rPr>
                <w:webHidden/>
              </w:rPr>
              <w:fldChar w:fldCharType="end"/>
            </w:r>
          </w:hyperlink>
        </w:p>
        <w:p>
          <w:pPr>
            <w:pStyle w:val="TOC2"/>
            <w:tabs>
              <w:tab w:val="clear" w:pos="720"/>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403">
            <w:r>
              <w:rPr>
                <w:webHidden/>
              </w:rPr>
              <w:fldChar w:fldCharType="begin"/>
            </w:r>
            <w:r>
              <w:rPr>
                <w:webHidden/>
              </w:rPr>
              <w:instrText xml:space="preserve">PAGEREF _Toc241673403 \h</w:instrText>
            </w:r>
            <w:r>
              <w:rPr>
                <w:webHidden/>
              </w:rPr>
              <w:fldChar w:fldCharType="separate"/>
            </w:r>
            <w:r>
              <w:rPr>
                <w:webHidden/>
                <w:rStyle w:val="Enlacedelndice"/>
                <w:vanish w:val="false"/>
              </w:rPr>
              <w:t>Anexo F. Segmentos, población de hoy e integración</w:t>
              <w:tab/>
              <w:t>19</w:t>
            </w:r>
            <w:r>
              <w:rPr>
                <w:webHidden/>
              </w:rPr>
              <w:fldChar w:fldCharType="end"/>
            </w:r>
          </w:hyperlink>
        </w:p>
        <w:p>
          <w:pPr>
            <w:pStyle w:val="TOC2"/>
            <w:tabs>
              <w:tab w:val="clear" w:pos="720"/>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404">
            <w:r>
              <w:rPr>
                <w:webHidden/>
              </w:rPr>
              <w:fldChar w:fldCharType="begin"/>
            </w:r>
            <w:r>
              <w:rPr>
                <w:webHidden/>
              </w:rPr>
              <w:instrText xml:space="preserve">PAGEREF _Toc241673404 \h</w:instrText>
            </w:r>
            <w:r>
              <w:rPr>
                <w:webHidden/>
              </w:rPr>
              <w:fldChar w:fldCharType="separate"/>
            </w:r>
            <w:r>
              <w:rPr>
                <w:webHidden/>
                <w:rStyle w:val="Enlacedelndice"/>
                <w:vanish w:val="false"/>
              </w:rPr>
              <w:t>Anexo G. Recompra observable</w:t>
              <w:tab/>
              <w:t>20</w:t>
            </w:r>
            <w:r>
              <w:rPr>
                <w:webHidden/>
              </w:rPr>
              <w:fldChar w:fldCharType="end"/>
            </w:r>
          </w:hyperlink>
        </w:p>
        <w:p>
          <w:pPr>
            <w:pStyle w:val="TOC2"/>
            <w:tabs>
              <w:tab w:val="clear" w:pos="720"/>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405">
            <w:r>
              <w:rPr>
                <w:webHidden/>
              </w:rPr>
              <w:fldChar w:fldCharType="begin"/>
            </w:r>
            <w:r>
              <w:rPr>
                <w:webHidden/>
              </w:rPr>
              <w:instrText xml:space="preserve">PAGEREF _Toc241673405 \h</w:instrText>
            </w:r>
            <w:r>
              <w:rPr>
                <w:webHidden/>
              </w:rPr>
              <w:fldChar w:fldCharType="separate"/>
            </w:r>
            <w:r>
              <w:rPr>
                <w:webHidden/>
                <w:rStyle w:val="Enlacedelndice"/>
                <w:vanish w:val="false"/>
              </w:rPr>
              <w:t>Anexo H. Impacto por capacidad de contacto</w:t>
              <w:tab/>
              <w:t>20</w:t>
            </w:r>
            <w:r>
              <w:rPr>
                <w:webHidden/>
              </w:rPr>
              <w:fldChar w:fldCharType="end"/>
            </w:r>
          </w:hyperlink>
        </w:p>
        <w:p>
          <w:pPr>
            <w:pStyle w:val="TOC2"/>
            <w:tabs>
              <w:tab w:val="clear" w:pos="720"/>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406">
            <w:r>
              <w:rPr>
                <w:webHidden/>
              </w:rPr>
              <w:fldChar w:fldCharType="begin"/>
            </w:r>
            <w:r>
              <w:rPr>
                <w:webHidden/>
              </w:rPr>
              <w:instrText xml:space="preserve">PAGEREF _Toc241673406 \h</w:instrText>
            </w:r>
            <w:r>
              <w:rPr>
                <w:webHidden/>
              </w:rPr>
              <w:fldChar w:fldCharType="separate"/>
            </w:r>
            <w:r>
              <w:rPr>
                <w:webHidden/>
                <w:rStyle w:val="Enlacedelndice"/>
                <w:vanish w:val="false"/>
              </w:rPr>
              <w:t>Anexo I. Preguntas abiertas para Ford</w:t>
              <w:tab/>
              <w:t>21</w:t>
            </w:r>
            <w:r>
              <w:rPr>
                <w:webHidden/>
              </w:rPr>
              <w:fldChar w:fldCharType="end"/>
            </w:r>
          </w:hyperlink>
        </w:p>
        <w:p>
          <w:pPr>
            <w:pStyle w:val="TOC2"/>
            <w:tabs>
              <w:tab w:val="clear" w:pos="720"/>
              <w:tab w:val="right" w:pos="8924" w:leader="dot"/>
            </w:tabs>
            <w:rPr>
              <w:rFonts w:ascii="Calibri" w:hAnsi="Calibri" w:eastAsia="" w:cs="" w:asciiTheme="minorHAnsi" w:cstheme="minorBidi" w:eastAsiaTheme="minorEastAsia" w:hAnsiTheme="minorHAnsi"/>
              <w:kern w:val="2"/>
              <w:sz w:val="24"/>
              <w:szCs w:val="24"/>
              <w:lang w:eastAsia="es-ES"/>
              <w14:ligatures w14:val="standardContextual"/>
            </w:rPr>
          </w:pPr>
          <w:hyperlink w:anchor="_Toc241673407">
            <w:r>
              <w:rPr>
                <w:webHidden/>
              </w:rPr>
              <w:fldChar w:fldCharType="begin"/>
            </w:r>
            <w:r>
              <w:rPr>
                <w:webHidden/>
              </w:rPr>
              <w:instrText xml:space="preserve">PAGEREF _Toc241673407 \h</w:instrText>
            </w:r>
            <w:r>
              <w:rPr>
                <w:webHidden/>
              </w:rPr>
              <w:fldChar w:fldCharType="separate"/>
            </w:r>
            <w:r>
              <w:rPr>
                <w:webHidden/>
                <w:rStyle w:val="Enlacedelndice"/>
                <w:vanish w:val="false"/>
              </w:rPr>
              <w:t>Anexo J. Reproducibilidad: dónde está cada cosa</w:t>
              <w:tab/>
              <w:t>21</w:t>
            </w:r>
            <w:r>
              <w:rPr>
                <w:webHidden/>
              </w:rPr>
              <w:fldChar w:fldCharType="end"/>
            </w:r>
          </w:hyperlink>
          <w:r>
            <w:rPr>
              <w:rStyle w:val="Enlacedelndice"/>
              <w:vanish w:val="false"/>
            </w:rPr>
            <w:fldChar w:fldCharType="end"/>
          </w:r>
        </w:p>
      </w:sdtContent>
    </w:sdt>
    <w:p>
      <w:pPr>
        <w:pStyle w:val="TOC1"/>
        <w:tabs>
          <w:tab w:val="clear" w:pos="720"/>
          <w:tab w:val="right" w:pos="8901" w:leader="dot"/>
        </w:tabs>
        <w:ind w:hanging="327" w:left="170"/>
        <w:rPr/>
      </w:pPr>
      <w:r>
        <w:rPr/>
      </w:r>
    </w:p>
    <w:p>
      <w:pPr>
        <w:pStyle w:val="Normal"/>
        <w:rPr/>
      </w:pPr>
      <w:r>
        <w:rPr/>
      </w:r>
      <w:r>
        <w:br w:type="page"/>
      </w:r>
    </w:p>
    <w:p>
      <w:pPr>
        <w:pStyle w:val="Heading1"/>
        <w:numPr>
          <w:ilvl w:val="0"/>
          <w:numId w:val="1"/>
        </w:numPr>
        <w:tabs>
          <w:tab w:val="clear" w:pos="720"/>
          <w:tab w:val="left" w:pos="378" w:leader="none"/>
          <w:tab w:val="left" w:pos="8901" w:leader="none"/>
        </w:tabs>
        <w:spacing w:before="0" w:after="0"/>
        <w:ind w:hanging="208" w:left="378"/>
        <w:rPr>
          <w:u w:val="none"/>
        </w:rPr>
      </w:pPr>
      <w:bookmarkStart w:id="2" w:name="Descripción_del_Desafío"/>
      <w:bookmarkStart w:id="3" w:name="_bookmark1"/>
      <w:bookmarkEnd w:id="2"/>
      <w:bookmarkEnd w:id="3"/>
      <w:r>
        <w:rPr>
          <w:spacing w:val="64"/>
          <w:w w:val="150"/>
        </w:rPr>
        <w:t xml:space="preserve"> </w:t>
      </w:r>
      <w:bookmarkStart w:id="4" w:name="_Toc241673379"/>
      <w:r>
        <w:rPr/>
        <w:t>Descripción</w:t>
      </w:r>
      <w:r>
        <w:rPr>
          <w:spacing w:val="42"/>
        </w:rPr>
        <w:t xml:space="preserve"> </w:t>
      </w:r>
      <w:r>
        <w:rPr/>
        <w:t>del</w:t>
      </w:r>
      <w:r>
        <w:rPr>
          <w:spacing w:val="42"/>
        </w:rPr>
        <w:t xml:space="preserve"> </w:t>
      </w:r>
      <w:r>
        <w:rPr>
          <w:spacing w:val="-2"/>
        </w:rPr>
        <w:t>Desafío</w:t>
      </w:r>
      <w:bookmarkEnd w:id="4"/>
      <w:r>
        <w:rPr/>
        <w:tab/>
      </w:r>
    </w:p>
    <w:p>
      <w:pPr>
        <w:pStyle w:val="BodyText"/>
        <w:spacing w:lineRule="auto" w:line="264" w:before="90" w:after="0"/>
        <w:ind w:left="170" w:right="120"/>
        <w:jc w:val="both"/>
        <w:rPr/>
      </w:pPr>
      <w:r>
        <w:rPr>
          <w:b/>
          <w:bCs/>
          <w:i w:val="false"/>
          <w:iCs w:val="false"/>
          <w:sz w:val="20"/>
          <w:szCs w:val="20"/>
        </w:rPr>
        <w:t>Desafío 1 — Data-Driven Repurchase based on Service Retention: predicción de retorno a la red oficial en ventana de servicio.</w:t>
      </w:r>
      <w:r>
        <w:rPr>
          <w:i w:val="false"/>
          <w:iCs w:val="false"/>
          <w:sz w:val="20"/>
          <w:szCs w:val="20"/>
        </w:rPr>
        <w:t xml:space="preserve"> Área: Customer Experience &amp; Data Strategy, Posventa / Retención de Servicio. Mentor y SPOC: Facundo Bertolosso.</w:t>
      </w:r>
    </w:p>
    <w:p>
      <w:pPr>
        <w:pStyle w:val="BodyText"/>
        <w:spacing w:lineRule="auto" w:line="264" w:before="90" w:after="0"/>
        <w:ind w:left="170" w:right="120"/>
        <w:jc w:val="both"/>
        <w:rPr/>
      </w:pPr>
      <w:r>
        <w:rPr>
          <w:i w:val="false"/>
          <w:iCs w:val="false"/>
          <w:sz w:val="20"/>
          <w:szCs w:val="20"/>
        </w:rPr>
        <w:t>Ford quiere construir relaciones que duren toda la vida del cliente, y la posventa es donde una compra se convierte en lealtad. Hoy, cuando una Ranger entra en su ventana de mantenimiento, los concesionarios la contactan con reglas de tiempo, kilometraje y vencimiento que dicen quién es elegible, pero no quién está en riesgo. Dos clientes reciben el mismo mensaje aunque uno vaya a volver solo y el otro esté por irse, y el que se va se detecta cuando la ventana ya cerró.</w:t>
      </w:r>
    </w:p>
    <w:p>
      <w:pPr>
        <w:pStyle w:val="BodyText"/>
        <w:spacing w:lineRule="auto" w:line="264" w:before="90" w:after="0"/>
        <w:ind w:left="170" w:right="120"/>
        <w:jc w:val="both"/>
        <w:rPr/>
      </w:pPr>
      <w:r>
        <w:rPr>
          <w:i w:val="false"/>
          <w:iCs w:val="false"/>
          <w:sz w:val="20"/>
          <w:szCs w:val="20"/>
        </w:rPr>
        <w:t xml:space="preserve">La ficha técnica pide un modelo que, </w:t>
      </w:r>
      <w:r>
        <w:rPr>
          <w:b/>
          <w:bCs/>
          <w:i w:val="false"/>
          <w:iCs w:val="false"/>
          <w:sz w:val="20"/>
          <w:szCs w:val="20"/>
        </w:rPr>
        <w:t>para cada usuario con al menos un vehículo dentro de la ventana de servicio, estime la probabilidad de churn</w:t>
      </w:r>
      <w:r>
        <w:rPr>
          <w:i w:val="false"/>
          <w:iCs w:val="false"/>
          <w:sz w:val="20"/>
          <w:szCs w:val="20"/>
        </w:rPr>
        <w:t xml:space="preserve">, definida como </w:t>
      </w:r>
      <w:r>
        <w:rPr>
          <w:b/>
          <w:bCs/>
          <w:i w:val="false"/>
          <w:iCs w:val="false"/>
          <w:sz w:val="20"/>
          <w:szCs w:val="20"/>
        </w:rPr>
        <w:t>no completar el próximo mantenimiento programado en la red oficial dentro del horizonte definido por negocio</w:t>
      </w:r>
      <w:r>
        <w:rPr>
          <w:i w:val="false"/>
          <w:iCs w:val="false"/>
          <w:sz w:val="20"/>
          <w:szCs w:val="20"/>
        </w:rPr>
        <w:t>. La unidad es usuario–vehículo (VIN)–ventana, con una vista consolidada por usuario cuando tiene varios vehículos.</w:t>
      </w:r>
    </w:p>
    <w:p>
      <w:pPr>
        <w:pStyle w:val="BodyText"/>
        <w:spacing w:lineRule="auto" w:line="264" w:before="90" w:after="0"/>
        <w:ind w:left="170" w:right="120"/>
        <w:jc w:val="both"/>
        <w:rPr/>
      </w:pPr>
      <w:r>
        <w:rPr>
          <w:i w:val="false"/>
          <w:iCs w:val="false"/>
          <w:sz w:val="20"/>
          <w:szCs w:val="20"/>
        </w:rPr>
        <w:t>El resultado mínimo que pide es, por vehículo: customer_id y vehicle_id seudonimizados, fecha de scoring, probabilidad entre 0 y 1, segmento de riesgo y principales drivers. Las restricciones son cinco: ninguna variable posterior a la fecha de scoring puede usarse, la validación se separa por fecha, las probabilidades se calibran, la explicación es auditable y todo es reproducible.</w:t>
      </w:r>
    </w:p>
    <w:p>
      <w:pPr>
        <w:pStyle w:val="BodyText"/>
        <w:spacing w:lineRule="auto" w:line="264" w:before="90" w:after="0"/>
        <w:ind w:left="170" w:right="120"/>
        <w:jc w:val="both"/>
        <w:rPr/>
      </w:pPr>
      <w:r>
        <w:rPr>
          <w:i w:val="false"/>
          <w:iCs w:val="false"/>
          <w:sz w:val="20"/>
          <w:szCs w:val="20"/>
        </w:rPr>
        <w:t>El jurado evalúa nueve criterios:</w:t>
      </w:r>
    </w:p>
    <w:p>
      <w:pPr>
        <w:pStyle w:val="ListParagraph"/>
        <w:numPr>
          <w:ilvl w:val="0"/>
          <w:numId w:val="2"/>
        </w:numPr>
        <w:spacing w:lineRule="auto" w:line="259" w:before="50" w:after="0"/>
        <w:ind w:hanging="220" w:left="560" w:right="120"/>
        <w:jc w:val="both"/>
        <w:rPr/>
      </w:pPr>
      <w:r>
        <w:rPr>
          <w:sz w:val="20"/>
          <w:szCs w:val="20"/>
        </w:rPr>
        <w:t>formulación de población, ventana y target;</w:t>
      </w:r>
    </w:p>
    <w:p>
      <w:pPr>
        <w:pStyle w:val="ListParagraph"/>
        <w:numPr>
          <w:ilvl w:val="0"/>
          <w:numId w:val="2"/>
        </w:numPr>
        <w:spacing w:lineRule="auto" w:line="259" w:before="50" w:after="0"/>
        <w:ind w:hanging="220" w:left="560" w:right="120"/>
        <w:jc w:val="both"/>
        <w:rPr/>
      </w:pPr>
      <w:r>
        <w:rPr>
          <w:sz w:val="20"/>
          <w:szCs w:val="20"/>
        </w:rPr>
        <w:t>ausencia de leakage y validación temporal;</w:t>
      </w:r>
    </w:p>
    <w:p>
      <w:pPr>
        <w:pStyle w:val="ListParagraph"/>
        <w:numPr>
          <w:ilvl w:val="0"/>
          <w:numId w:val="2"/>
        </w:numPr>
        <w:spacing w:lineRule="auto" w:line="259" w:before="50" w:after="0"/>
        <w:ind w:hanging="220" w:left="560" w:right="120"/>
        <w:jc w:val="both"/>
        <w:rPr/>
      </w:pPr>
      <w:r>
        <w:rPr>
          <w:sz w:val="20"/>
          <w:szCs w:val="20"/>
        </w:rPr>
        <w:t>poder predictivo (ROC-AUC y especialmente PR-AUC, precisión y recall sobre churn, lift por deciles, recall a capacidad de contacto);</w:t>
      </w:r>
    </w:p>
    <w:p>
      <w:pPr>
        <w:pStyle w:val="ListParagraph"/>
        <w:numPr>
          <w:ilvl w:val="0"/>
          <w:numId w:val="2"/>
        </w:numPr>
        <w:spacing w:lineRule="auto" w:line="259" w:before="50" w:after="0"/>
        <w:ind w:hanging="220" w:left="560" w:right="120"/>
        <w:jc w:val="both"/>
        <w:rPr/>
      </w:pPr>
      <w:r>
        <w:rPr>
          <w:sz w:val="20"/>
          <w:szCs w:val="20"/>
        </w:rPr>
        <w:t>calibración;</w:t>
      </w:r>
    </w:p>
    <w:p>
      <w:pPr>
        <w:pStyle w:val="ListParagraph"/>
        <w:numPr>
          <w:ilvl w:val="0"/>
          <w:numId w:val="2"/>
        </w:numPr>
        <w:spacing w:lineRule="auto" w:line="259" w:before="50" w:after="0"/>
        <w:ind w:hanging="220" w:left="560" w:right="120"/>
        <w:jc w:val="both"/>
        <w:rPr/>
      </w:pPr>
      <w:r>
        <w:rPr>
          <w:sz w:val="20"/>
          <w:szCs w:val="20"/>
        </w:rPr>
        <w:t>explicabilidad;</w:t>
      </w:r>
    </w:p>
    <w:p>
      <w:pPr>
        <w:pStyle w:val="ListParagraph"/>
        <w:numPr>
          <w:ilvl w:val="0"/>
          <w:numId w:val="2"/>
        </w:numPr>
        <w:spacing w:lineRule="auto" w:line="259" w:before="50" w:after="0"/>
        <w:ind w:hanging="220" w:left="560" w:right="120"/>
        <w:jc w:val="both"/>
        <w:rPr/>
      </w:pPr>
      <w:r>
        <w:rPr>
          <w:sz w:val="20"/>
          <w:szCs w:val="20"/>
        </w:rPr>
        <w:t>accionabilidad e integración;</w:t>
      </w:r>
    </w:p>
    <w:p>
      <w:pPr>
        <w:pStyle w:val="ListParagraph"/>
        <w:numPr>
          <w:ilvl w:val="0"/>
          <w:numId w:val="2"/>
        </w:numPr>
        <w:spacing w:lineRule="auto" w:line="259" w:before="50" w:after="0"/>
        <w:ind w:hanging="220" w:left="560" w:right="120"/>
        <w:jc w:val="both"/>
        <w:rPr/>
      </w:pPr>
      <w:r>
        <w:rPr>
          <w:sz w:val="20"/>
          <w:szCs w:val="20"/>
        </w:rPr>
        <w:t>viabilidad y reproducibilidad;</w:t>
      </w:r>
    </w:p>
    <w:p>
      <w:pPr>
        <w:pStyle w:val="ListParagraph"/>
        <w:numPr>
          <w:ilvl w:val="0"/>
          <w:numId w:val="2"/>
        </w:numPr>
        <w:spacing w:lineRule="auto" w:line="259" w:before="50" w:after="0"/>
        <w:ind w:hanging="220" w:left="560" w:right="120"/>
        <w:jc w:val="both"/>
        <w:rPr/>
      </w:pPr>
      <w:r>
        <w:rPr>
          <w:sz w:val="20"/>
          <w:szCs w:val="20"/>
        </w:rPr>
        <w:t>innovación;</w:t>
      </w:r>
    </w:p>
    <w:p>
      <w:pPr>
        <w:pStyle w:val="ListParagraph"/>
        <w:numPr>
          <w:ilvl w:val="0"/>
          <w:numId w:val="2"/>
        </w:numPr>
        <w:spacing w:lineRule="auto" w:line="259" w:before="50" w:after="0"/>
        <w:ind w:hanging="220" w:left="560" w:right="120"/>
        <w:jc w:val="both"/>
        <w:rPr/>
      </w:pPr>
      <w:r>
        <w:rPr>
          <w:sz w:val="20"/>
          <w:szCs w:val="20"/>
        </w:rPr>
        <w:t>claridad del pitch.</w:t>
      </w:r>
    </w:p>
    <w:p>
      <w:pPr>
        <w:pStyle w:val="BodyText"/>
        <w:spacing w:lineRule="auto" w:line="264" w:before="90" w:after="0"/>
        <w:ind w:left="170" w:right="120"/>
        <w:jc w:val="both"/>
        <w:rPr/>
      </w:pPr>
      <w:r>
        <w:rPr>
          <w:b/>
          <w:bCs/>
          <w:i w:val="false"/>
          <w:iCs w:val="false"/>
          <w:sz w:val="20"/>
          <w:szCs w:val="20"/>
        </w:rPr>
        <w:t>Datos recibidos.</w:t>
      </w:r>
      <w:r>
        <w:rPr>
          <w:i w:val="false"/>
          <w:iCs w:val="false"/>
          <w:sz w:val="20"/>
          <w:szCs w:val="20"/>
        </w:rPr>
        <w:t xml:space="preserve"> Dos extractos seudonimizados de BigQuery: las ventas de Ranger en Argentina y la agenda de turnos de servicio de todo el parque Ranger, ambos de 2024 a 2026, con corte el 25/08/2026. No hay CRM, DMS, campañas, web ni telemetría. Los volúmenes están en el Anexo A.</w:t>
      </w:r>
    </w:p>
    <w:p>
      <w:pPr>
        <w:pStyle w:val="BodyText"/>
        <w:spacing w:lineRule="auto" w:line="264" w:before="90" w:after="0"/>
        <w:ind w:left="170" w:right="120"/>
        <w:jc w:val="both"/>
        <w:rPr/>
      </w:pPr>
      <w:r>
        <w:rPr>
          <w:i w:val="false"/>
          <w:iCs w:val="false"/>
          <w:sz w:val="20"/>
          <w:szCs w:val="20"/>
        </w:rPr>
        <w:t>Una nota sobre el título: el resumen público habla de "Repurchase Propensity", y la ficha técnica lo precisa como retención de service, porque el service es el punto de contacto que sostiene la recompra. El dataset no trae una variable de recompra, pero sí permite observarla, y la usamos como evidencia complementaria (sección 2.2.7).</w:t>
      </w:r>
    </w:p>
    <w:p>
      <w:pPr>
        <w:pStyle w:val="Normal"/>
        <w:rPr/>
      </w:pPr>
      <w:r>
        <w:rPr/>
      </w:r>
      <w:r>
        <w:br w:type="page"/>
      </w:r>
    </w:p>
    <w:p>
      <w:pPr>
        <w:pStyle w:val="Heading1"/>
        <w:numPr>
          <w:ilvl w:val="0"/>
          <w:numId w:val="1"/>
        </w:numPr>
        <w:tabs>
          <w:tab w:val="clear" w:pos="720"/>
          <w:tab w:val="left" w:pos="378" w:leader="none"/>
          <w:tab w:val="left" w:pos="8901" w:leader="none"/>
        </w:tabs>
        <w:spacing w:before="0" w:after="0"/>
        <w:ind w:hanging="208" w:left="378"/>
        <w:rPr>
          <w:u w:val="none"/>
        </w:rPr>
      </w:pPr>
      <w:bookmarkStart w:id="5" w:name="Descripción_de_la_Solución"/>
      <w:bookmarkStart w:id="6" w:name="_bookmark2"/>
      <w:bookmarkEnd w:id="5"/>
      <w:bookmarkEnd w:id="6"/>
      <w:r>
        <w:rPr>
          <w:spacing w:val="62"/>
          <w:w w:val="150"/>
        </w:rPr>
        <w:t xml:space="preserve"> </w:t>
      </w:r>
      <w:bookmarkStart w:id="7" w:name="_Toc241673380"/>
      <w:r>
        <w:rPr/>
        <w:t>Descripción</w:t>
      </w:r>
      <w:r>
        <w:rPr>
          <w:spacing w:val="42"/>
        </w:rPr>
        <w:t xml:space="preserve"> </w:t>
      </w:r>
      <w:r>
        <w:rPr/>
        <w:t>de</w:t>
      </w:r>
      <w:r>
        <w:rPr>
          <w:spacing w:val="41"/>
        </w:rPr>
        <w:t xml:space="preserve"> </w:t>
      </w:r>
      <w:r>
        <w:rPr/>
        <w:t>la</w:t>
      </w:r>
      <w:r>
        <w:rPr>
          <w:spacing w:val="41"/>
        </w:rPr>
        <w:t xml:space="preserve"> </w:t>
      </w:r>
      <w:r>
        <w:rPr>
          <w:spacing w:val="-2"/>
        </w:rPr>
        <w:t>Solución</w:t>
      </w:r>
      <w:bookmarkEnd w:id="7"/>
      <w:r>
        <w:rPr/>
        <w:tab/>
      </w:r>
    </w:p>
    <w:p>
      <w:pPr>
        <w:pStyle w:val="Heading2"/>
        <w:numPr>
          <w:ilvl w:val="1"/>
          <w:numId w:val="1"/>
        </w:numPr>
        <w:tabs>
          <w:tab w:val="clear" w:pos="720"/>
          <w:tab w:val="left" w:pos="615" w:leader="none"/>
        </w:tabs>
        <w:spacing w:before="218" w:after="0"/>
        <w:ind w:hanging="445" w:left="615"/>
        <w:rPr/>
      </w:pPr>
      <w:bookmarkStart w:id="8" w:name="_Toc241673381"/>
      <w:bookmarkStart w:id="9" w:name="Resumen_Ejecutivo_de_la_Solución"/>
      <w:bookmarkStart w:id="10" w:name="_bookmark3"/>
      <w:bookmarkEnd w:id="9"/>
      <w:bookmarkEnd w:id="10"/>
      <w:r>
        <w:rPr>
          <w:w w:val="105"/>
        </w:rPr>
        <w:t>Resumen</w:t>
      </w:r>
      <w:r>
        <w:rPr>
          <w:spacing w:val="34"/>
          <w:w w:val="105"/>
        </w:rPr>
        <w:t xml:space="preserve"> </w:t>
      </w:r>
      <w:r>
        <w:rPr>
          <w:w w:val="105"/>
        </w:rPr>
        <w:t>Ejecutivo</w:t>
      </w:r>
      <w:r>
        <w:rPr>
          <w:spacing w:val="35"/>
          <w:w w:val="105"/>
        </w:rPr>
        <w:t xml:space="preserve"> </w:t>
      </w:r>
      <w:r>
        <w:rPr>
          <w:w w:val="105"/>
        </w:rPr>
        <w:t>de</w:t>
      </w:r>
      <w:r>
        <w:rPr>
          <w:spacing w:val="35"/>
          <w:w w:val="105"/>
        </w:rPr>
        <w:t xml:space="preserve"> </w:t>
      </w:r>
      <w:r>
        <w:rPr>
          <w:w w:val="105"/>
        </w:rPr>
        <w:t>la</w:t>
      </w:r>
      <w:r>
        <w:rPr>
          <w:spacing w:val="35"/>
          <w:w w:val="105"/>
        </w:rPr>
        <w:t xml:space="preserve"> </w:t>
      </w:r>
      <w:r>
        <w:rPr>
          <w:spacing w:val="-2"/>
          <w:w w:val="105"/>
        </w:rPr>
        <w:t>Solución</w:t>
      </w:r>
      <w:bookmarkEnd w:id="8"/>
    </w:p>
    <w:p>
      <w:pPr>
        <w:pStyle w:val="BodyText"/>
        <w:spacing w:lineRule="auto" w:line="264" w:before="90" w:after="0"/>
        <w:ind w:left="170" w:right="120"/>
        <w:jc w:val="both"/>
        <w:rPr/>
      </w:pPr>
      <w:r>
        <w:rPr>
          <w:b/>
          <w:bCs/>
          <w:i w:val="false"/>
          <w:iCs w:val="false"/>
          <w:sz w:val="20"/>
          <w:szCs w:val="20"/>
        </w:rPr>
        <w:t>El problema.</w:t>
      </w:r>
      <w:r>
        <w:rPr>
          <w:i w:val="false"/>
          <w:iCs w:val="false"/>
          <w:sz w:val="20"/>
          <w:szCs w:val="20"/>
        </w:rPr>
        <w:t xml:space="preserve"> Cada mes, entre 6.000 y 7.000 Ranger entran en su ventana de mantenimiento, y cuatro de cada diez no hacen el service en un concesionario oficial. Hoy se les habla a todos igual, así que el esfuerzo de contacto se reparte también entre los que iban a volver de todos modos.</w:t>
      </w:r>
    </w:p>
    <w:p>
      <w:pPr>
        <w:pStyle w:val="BodyText"/>
        <w:spacing w:lineRule="auto" w:line="264" w:before="90" w:after="0"/>
        <w:ind w:left="170" w:right="120"/>
        <w:jc w:val="both"/>
        <w:rPr/>
      </w:pPr>
      <w:r>
        <w:rPr>
          <w:b/>
          <w:bCs/>
          <w:i w:val="false"/>
          <w:iCs w:val="false"/>
          <w:sz w:val="20"/>
          <w:szCs w:val="20"/>
        </w:rPr>
        <w:t>La solución.</w:t>
      </w:r>
      <w:r>
        <w:rPr>
          <w:i w:val="false"/>
          <w:iCs w:val="false"/>
          <w:sz w:val="20"/>
          <w:szCs w:val="20"/>
        </w:rPr>
        <w:t xml:space="preserve"> Cuando cada Ranger entra en ventana, un modelo estima la probabilidad de que no vuelva, explica por qué con sus tres motivos principales y ordena la lista para que el contacto llegue primero a quien se está yendo. No cambia el proceso de Ford: le cambia el orden.</w:t>
      </w:r>
    </w:p>
    <w:p>
      <w:pPr>
        <w:pStyle w:val="BodyText"/>
        <w:spacing w:lineRule="auto" w:line="264" w:before="90" w:after="0"/>
        <w:ind w:left="170" w:right="120"/>
        <w:jc w:val="both"/>
        <w:rPr/>
      </w:pPr>
      <w:r>
        <w:rPr>
          <w:b/>
          <w:bCs/>
          <w:i w:val="false"/>
          <w:iCs w:val="false"/>
          <w:sz w:val="20"/>
          <w:szCs w:val="20"/>
        </w:rPr>
        <w:t>Qué tan bien funciona.</w:t>
      </w:r>
      <w:r>
        <w:rPr>
          <w:i w:val="false"/>
          <w:iCs w:val="false"/>
          <w:sz w:val="20"/>
          <w:szCs w:val="20"/>
        </w:rPr>
        <w:t xml:space="preserve"> Probado en meses que el modelo no había visto, casi ocho de cada diez contactos a los primeros de la lista llegan a alguien que se estaba yendo, contra cuatro de cada diez hoy. Con la misma cantidad de contactos, se recupera un 80 % más de services.</w:t>
      </w:r>
    </w:p>
    <w:p>
      <w:pPr>
        <w:pStyle w:val="BodyText"/>
        <w:spacing w:lineRule="auto" w:line="264" w:before="90" w:after="0"/>
        <w:ind w:left="170" w:right="120"/>
        <w:jc w:val="both"/>
        <w:rPr/>
      </w:pPr>
      <w:r>
        <w:rPr>
          <w:b/>
          <w:bCs/>
          <w:i w:val="false"/>
          <w:iCs w:val="false"/>
          <w:sz w:val="20"/>
          <w:szCs w:val="20"/>
        </w:rPr>
        <w:t>Qué proponemos.</w:t>
      </w:r>
      <w:r>
        <w:rPr>
          <w:i w:val="false"/>
          <w:iCs w:val="false"/>
          <w:sz w:val="20"/>
          <w:szCs w:val="20"/>
        </w:rPr>
        <w:t xml:space="preserve"> Tres grupos de contacto que usan los canales que Ford ya tiene (Service Leads, FordPass y Service Reminder), sin sistemas nuevos, y un piloto de 90 días que mide el efecto real antes de escalar.</w:t>
      </w:r>
    </w:p>
    <w:p>
      <w:pPr>
        <w:pStyle w:val="Heading2"/>
        <w:numPr>
          <w:ilvl w:val="1"/>
          <w:numId w:val="1"/>
        </w:numPr>
        <w:tabs>
          <w:tab w:val="clear" w:pos="720"/>
          <w:tab w:val="left" w:pos="615" w:leader="none"/>
        </w:tabs>
        <w:ind w:hanging="445" w:left="615"/>
        <w:rPr/>
      </w:pPr>
      <w:bookmarkStart w:id="11" w:name="_Toc241673382"/>
      <w:bookmarkStart w:id="12" w:name="Especificaciones_Técnicas"/>
      <w:bookmarkStart w:id="13" w:name="_bookmark4"/>
      <w:bookmarkEnd w:id="12"/>
      <w:bookmarkEnd w:id="13"/>
      <w:r>
        <w:rPr>
          <w:w w:val="105"/>
        </w:rPr>
        <w:t>Especificaciones</w:t>
      </w:r>
      <w:r>
        <w:rPr>
          <w:spacing w:val="9"/>
          <w:w w:val="105"/>
        </w:rPr>
        <w:t xml:space="preserve"> </w:t>
      </w:r>
      <w:r>
        <w:rPr>
          <w:spacing w:val="-2"/>
          <w:w w:val="105"/>
        </w:rPr>
        <w:t>Técnicas</w:t>
      </w:r>
      <w:bookmarkEnd w:id="11"/>
    </w:p>
    <w:p>
      <w:pPr>
        <w:pStyle w:val="BodyText"/>
        <w:spacing w:lineRule="auto" w:line="264" w:before="90" w:after="0"/>
        <w:ind w:left="170" w:right="120"/>
        <w:jc w:val="both"/>
        <w:rPr/>
      </w:pPr>
      <w:r>
        <w:rPr>
          <w:i w:val="false"/>
          <w:iCs w:val="false"/>
          <w:sz w:val="20"/>
          <w:szCs w:val="20"/>
        </w:rPr>
        <w:t>Esta sección cuenta cómo se construyó la solución y qué tan bien funciona. Cada idea lleva la cifra que la sostiene; las tablas completas están en los Anexos A a J, citados donde corresponde.</w:t>
      </w:r>
    </w:p>
    <w:p>
      <w:pPr>
        <w:pStyle w:val="Heading3"/>
        <w:numPr>
          <w:ilvl w:val="2"/>
          <w:numId w:val="1"/>
        </w:numPr>
        <w:tabs>
          <w:tab w:val="clear" w:pos="720"/>
          <w:tab w:val="left" w:pos="840" w:leader="none"/>
        </w:tabs>
        <w:spacing w:before="240" w:after="0"/>
        <w:ind w:hanging="670" w:left="840"/>
        <w:rPr/>
      </w:pPr>
      <w:bookmarkStart w:id="14" w:name="_Toc241673383"/>
      <w:r>
        <w:rPr/>
        <w:t>Datos y hallazgos que cambian el problema</w:t>
      </w:r>
      <w:bookmarkEnd w:id="14"/>
    </w:p>
    <w:p>
      <w:pPr>
        <w:pStyle w:val="BodyText"/>
        <w:spacing w:lineRule="auto" w:line="264" w:before="90" w:after="0"/>
        <w:ind w:left="170" w:right="120"/>
        <w:jc w:val="both"/>
        <w:rPr/>
      </w:pPr>
      <w:r>
        <w:rPr>
          <w:i w:val="false"/>
          <w:iCs w:val="false"/>
          <w:sz w:val="20"/>
          <w:szCs w:val="20"/>
        </w:rPr>
        <w:t xml:space="preserve">La agenda de turnos registra cada ítem de servicio por separado. Consolidada a nivel turno, identifica </w:t>
      </w:r>
      <w:r>
        <w:rPr>
          <w:b/>
          <w:bCs/>
          <w:i w:val="false"/>
          <w:iCs w:val="false"/>
          <w:sz w:val="20"/>
          <w:szCs w:val="20"/>
        </w:rPr>
        <w:t>222.889 mantenimientos programados completados</w:t>
      </w:r>
      <w:r>
        <w:rPr>
          <w:i w:val="false"/>
          <w:iCs w:val="false"/>
          <w:sz w:val="20"/>
          <w:szCs w:val="20"/>
        </w:rPr>
        <w:t>, que son el evento que define si un cliente volvió. El análisis exploratorio se hizo en seis temas, y cada cifra fue recalculada por una verificación independiente con código propio.</w:t>
      </w:r>
    </w:p>
    <w:p>
      <w:pPr>
        <w:pStyle w:val="BodyText"/>
        <w:spacing w:lineRule="auto" w:line="264" w:before="90" w:after="0"/>
        <w:ind w:left="170" w:right="120"/>
        <w:jc w:val="both"/>
        <w:rPr/>
      </w:pPr>
      <w:r>
        <w:rPr>
          <w:i w:val="false"/>
          <w:iCs w:val="false"/>
          <w:sz w:val="20"/>
          <w:szCs w:val="20"/>
        </w:rPr>
        <w:t>Cinco hallazgos cambian cómo hay que mirar el problema (el detalle, con todas sus cifras, está en el Anexo B):</w:t>
      </w:r>
    </w:p>
    <w:p>
      <w:pPr>
        <w:pStyle w:val="ListParagraph"/>
        <w:numPr>
          <w:ilvl w:val="0"/>
          <w:numId w:val="2"/>
        </w:numPr>
        <w:spacing w:lineRule="auto" w:line="259" w:before="50" w:after="0"/>
        <w:ind w:hanging="220" w:left="560" w:right="120"/>
        <w:jc w:val="both"/>
        <w:rPr/>
      </w:pPr>
      <w:r>
        <w:rPr>
          <w:b/>
          <w:bCs/>
          <w:sz w:val="20"/>
          <w:szCs w:val="20"/>
        </w:rPr>
        <w:t>El plan es por kilómetros, no por calendario.</w:t>
      </w:r>
      <w:r>
        <w:rPr>
          <w:sz w:val="20"/>
          <w:szCs w:val="20"/>
        </w:rPr>
        <w:t xml:space="preserve"> El kilometraje al n-ésimo service converge a 16.000 × n en la Ranger P703 y a 10.000 × n en la P375 (Figura 1), igual que el plan oficial de Ford Argentina. Como una Ranger hace unos 21.500 km por año, esperar "al año" llega tarde: una regla anual abre la ventana cuando el 86 % de los clientes ya vino.</w:t>
      </w:r>
    </w:p>
    <w:p>
      <w:pPr>
        <w:pStyle w:val="ListParagraph"/>
        <w:numPr>
          <w:ilvl w:val="0"/>
          <w:numId w:val="2"/>
        </w:numPr>
        <w:spacing w:lineRule="auto" w:line="259" w:before="50" w:after="0"/>
        <w:ind w:hanging="220" w:left="560" w:right="120"/>
        <w:jc w:val="both"/>
        <w:rPr/>
      </w:pPr>
      <w:r>
        <w:rPr>
          <w:b/>
          <w:bCs/>
          <w:sz w:val="20"/>
          <w:szCs w:val="20"/>
        </w:rPr>
        <w:t>El primer service concentra el riesgo.</w:t>
      </w:r>
      <w:r>
        <w:rPr>
          <w:sz w:val="20"/>
          <w:szCs w:val="20"/>
        </w:rPr>
        <w:t xml:space="preserve"> A 12 meses, el primer service pierde al 36 % de los clientes y el segundo, al 25 %. El que vuelve una vez tiende a quedarse.</w:t>
      </w:r>
    </w:p>
    <w:p>
      <w:pPr>
        <w:pStyle w:val="ListParagraph"/>
        <w:numPr>
          <w:ilvl w:val="0"/>
          <w:numId w:val="2"/>
        </w:numPr>
        <w:spacing w:lineRule="auto" w:line="259" w:before="50" w:after="0"/>
        <w:ind w:hanging="220" w:left="560" w:right="120"/>
        <w:jc w:val="both"/>
        <w:rPr/>
      </w:pPr>
      <w:r>
        <w:rPr>
          <w:b/>
          <w:bCs/>
          <w:sz w:val="20"/>
          <w:szCs w:val="20"/>
        </w:rPr>
        <w:t>La retención cae con la edad del vehículo, de forma sostenida.</w:t>
      </w:r>
      <w:r>
        <w:rPr>
          <w:sz w:val="20"/>
          <w:szCs w:val="20"/>
        </w:rPr>
        <w:t xml:space="preserve"> No hay un quiebre "al tercer año": la caída es gradual y el escalón mayor está entre el quinto y el sexto año.</w:t>
      </w:r>
    </w:p>
    <w:p>
      <w:pPr>
        <w:pStyle w:val="ListParagraph"/>
        <w:numPr>
          <w:ilvl w:val="0"/>
          <w:numId w:val="2"/>
        </w:numPr>
        <w:spacing w:lineRule="auto" w:line="259" w:before="50" w:after="0"/>
        <w:ind w:hanging="220" w:left="560" w:right="120"/>
        <w:jc w:val="both"/>
        <w:rPr/>
      </w:pPr>
      <w:r>
        <w:rPr>
          <w:b/>
          <w:bCs/>
          <w:sz w:val="20"/>
          <w:szCs w:val="20"/>
        </w:rPr>
        <w:t>Dos columnas son fotos, no historia.</w:t>
      </w:r>
      <w:r>
        <w:rPr>
          <w:sz w:val="20"/>
          <w:szCs w:val="20"/>
        </w:rPr>
        <w:t xml:space="preserve"> KM y ConnectedStatusARG guardan el valor del día en que se extrajeron los datos, copiado a todos los turnos anteriores del vehículo. Usarlas para predecir el pasado sería mirar el futuro, así que quedaron afuera (sección 2.2.4).</w:t>
      </w:r>
    </w:p>
    <w:p>
      <w:pPr>
        <w:pStyle w:val="ListParagraph"/>
        <w:numPr>
          <w:ilvl w:val="0"/>
          <w:numId w:val="2"/>
        </w:numPr>
        <w:spacing w:lineRule="auto" w:line="259" w:before="50" w:after="0"/>
        <w:ind w:hanging="220" w:left="560" w:right="120"/>
        <w:jc w:val="both"/>
        <w:rPr/>
      </w:pPr>
      <w:r>
        <w:rPr>
          <w:b/>
          <w:bCs/>
          <w:sz w:val="20"/>
          <w:szCs w:val="20"/>
        </w:rPr>
        <w:t>El que se va se ve venir, si se mira bien.</w:t>
      </w:r>
      <w:r>
        <w:rPr>
          <w:sz w:val="20"/>
          <w:szCs w:val="20"/>
        </w:rPr>
        <w:t xml:space="preserve"> La recencia, el ritmo de uso, el atraso respecto del plan, el uso de FordPass y el concesionario separan a quien vuelve de quien no. Los no-shows sólo pesan cuando se los mira junto con la cantidad de turnos, y la encuesta de satisfacción no anticipa nada.</w:t>
      </w:r>
    </w:p>
    <w:p>
      <w:pPr>
        <w:pStyle w:val="Normal"/>
        <w:keepNext w:val="true"/>
        <w:spacing w:before="120" w:after="0"/>
        <w:ind w:left="170"/>
        <w:jc w:val="center"/>
        <w:rPr/>
      </w:pPr>
      <w:r>
        <w:rPr/>
        <w:drawing>
          <wp:inline distT="0" distB="0" distL="0" distR="0">
            <wp:extent cx="4699000" cy="1566545"/>
            <wp:effectExtent l="0" t="0" r="0" b="0"/>
            <wp:docPr id="2" name="Figura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 1" descr=""/>
                    <pic:cNvPicPr>
                      <a:picLocks noChangeAspect="1" noChangeArrowheads="1"/>
                    </pic:cNvPicPr>
                  </pic:nvPicPr>
                  <pic:blipFill>
                    <a:blip r:embed="rId10"/>
                    <a:stretch>
                      <a:fillRect/>
                    </a:stretch>
                  </pic:blipFill>
                  <pic:spPr bwMode="auto">
                    <a:xfrm>
                      <a:off x="0" y="0"/>
                      <a:ext cx="4699000" cy="1566545"/>
                    </a:xfrm>
                    <a:prstGeom prst="rect">
                      <a:avLst/>
                    </a:prstGeom>
                  </pic:spPr>
                </pic:pic>
              </a:graphicData>
            </a:graphic>
          </wp:inline>
        </w:drawing>
      </w:r>
    </w:p>
    <w:p>
      <w:pPr>
        <w:pStyle w:val="Caption"/>
        <w:spacing w:before="40" w:after="160"/>
        <w:ind w:left="170" w:right="120"/>
        <w:jc w:val="center"/>
        <w:rPr/>
      </w:pPr>
      <w:r>
        <w:rPr>
          <w:sz w:val="16"/>
          <w:szCs w:val="16"/>
        </w:rPr>
        <w:t>Figura 1. Km al n-ésimo service por generación: el plan es 16.000 × n (P703) y 10.000 × n (P375).</w:t>
      </w:r>
    </w:p>
    <w:p>
      <w:pPr>
        <w:pStyle w:val="Heading3"/>
        <w:numPr>
          <w:ilvl w:val="2"/>
          <w:numId w:val="1"/>
        </w:numPr>
        <w:tabs>
          <w:tab w:val="clear" w:pos="720"/>
          <w:tab w:val="left" w:pos="840" w:leader="none"/>
        </w:tabs>
        <w:spacing w:before="240" w:after="0"/>
        <w:ind w:hanging="670" w:left="840"/>
        <w:rPr/>
      </w:pPr>
      <w:bookmarkStart w:id="15" w:name="_Toc241673384"/>
      <w:r>
        <w:rPr/>
        <w:t>Población, ventana y target</w:t>
      </w:r>
      <w:bookmarkEnd w:id="15"/>
    </w:p>
    <w:p>
      <w:pPr>
        <w:pStyle w:val="BodyText"/>
        <w:spacing w:lineRule="auto" w:line="264" w:before="90" w:after="0"/>
        <w:ind w:left="170" w:right="120"/>
        <w:jc w:val="both"/>
        <w:rPr/>
      </w:pPr>
      <w:r>
        <w:rPr>
          <w:i w:val="false"/>
          <w:iCs w:val="false"/>
          <w:sz w:val="20"/>
          <w:szCs w:val="20"/>
        </w:rPr>
        <w:t>La ficha deja las reglas exactas de ventana y horizonte "a validar por modelo/año". Las definimos a partir de los datos y quedaron parametrizadas en config/params.json, para que Posventa pueda ajustarlas.</w:t>
      </w:r>
    </w:p>
    <w:p>
      <w:pPr>
        <w:pStyle w:val="BodyText"/>
        <w:spacing w:lineRule="auto" w:line="264" w:before="90" w:after="0"/>
        <w:ind w:left="170" w:right="120"/>
        <w:jc w:val="both"/>
        <w:rPr/>
      </w:pPr>
      <w:r>
        <w:rPr>
          <w:b/>
          <w:bCs/>
          <w:i w:val="false"/>
          <w:iCs w:val="false"/>
          <w:sz w:val="20"/>
          <w:szCs w:val="20"/>
        </w:rPr>
        <w:t>La ventana se calcula para cada vehículo.</w:t>
      </w:r>
      <w:r>
        <w:rPr>
          <w:i w:val="false"/>
          <w:iCs w:val="false"/>
          <w:sz w:val="20"/>
          <w:szCs w:val="20"/>
        </w:rPr>
        <w:t xml:space="preserve"> Parte de su último mantenimiento completado (o del inicio de la garantía, si todavía no hizo el primero), estima cuándo le toca el próximo según su generación y su propio ritmo de uso, abre 30 días antes de ese vencimiento y cierra 90 días después.</w:t>
      </w:r>
    </w:p>
    <w:p>
      <w:pPr>
        <w:pStyle w:val="BodyText"/>
        <w:spacing w:lineRule="auto" w:line="264" w:before="90" w:after="0"/>
        <w:ind w:left="170" w:right="120"/>
        <w:jc w:val="both"/>
        <w:rPr/>
      </w:pPr>
      <w:r>
        <w:rPr>
          <w:b/>
          <w:bCs/>
          <w:i w:val="false"/>
          <w:iCs w:val="false"/>
          <w:sz w:val="20"/>
          <w:szCs w:val="20"/>
        </w:rPr>
        <w:t>El target es la definición de la ficha.</w:t>
      </w:r>
      <w:r>
        <w:rPr>
          <w:i w:val="false"/>
          <w:iCs w:val="false"/>
          <w:sz w:val="20"/>
          <w:szCs w:val="20"/>
        </w:rPr>
        <w:t xml:space="preserve"> Churn = 1 si el vehículo no completa el próximo mantenimiento programado en la red oficial entre la apertura y el cierre de su ventana. Las ventanas que todavía no cerraron al corte no se etiquetan: son la población a la que se le asigna un score hoy.</w:t>
      </w:r>
    </w:p>
    <w:p>
      <w:pPr>
        <w:pStyle w:val="BodyText"/>
        <w:spacing w:lineRule="auto" w:line="264" w:before="90" w:after="0"/>
        <w:ind w:left="170" w:right="120"/>
        <w:jc w:val="both"/>
        <w:rPr/>
      </w:pPr>
      <w:r>
        <w:rPr>
          <w:i w:val="false"/>
          <w:iCs w:val="false"/>
          <w:sz w:val="20"/>
          <w:szCs w:val="20"/>
        </w:rPr>
        <w:t xml:space="preserve">Con esa definición quedan </w:t>
      </w:r>
      <w:r>
        <w:rPr>
          <w:b/>
          <w:bCs/>
          <w:i w:val="false"/>
          <w:iCs w:val="false"/>
          <w:sz w:val="20"/>
          <w:szCs w:val="20"/>
        </w:rPr>
        <w:t>142.637 ventanas evaluables</w:t>
      </w:r>
      <w:r>
        <w:rPr>
          <w:i w:val="false"/>
          <w:iCs w:val="false"/>
          <w:sz w:val="20"/>
          <w:szCs w:val="20"/>
        </w:rPr>
        <w:t xml:space="preserve"> entre 2024 y 2026, con un churn de 41,6 %. La definición completa, elemento por elemento y con su justificación, está en el Anexo C.</w:t>
      </w:r>
    </w:p>
    <w:p>
      <w:pPr>
        <w:pStyle w:val="BodyText"/>
        <w:spacing w:lineRule="auto" w:line="264" w:before="90" w:after="0"/>
        <w:ind w:left="170" w:right="120"/>
        <w:jc w:val="both"/>
        <w:rPr/>
      </w:pPr>
      <w:r>
        <w:rPr>
          <w:b/>
          <w:bCs/>
          <w:i w:val="false"/>
          <w:iCs w:val="false"/>
          <w:sz w:val="20"/>
          <w:szCs w:val="20"/>
        </w:rPr>
        <w:t>Por qué esta ventana y no otra.</w:t>
      </w:r>
      <w:r>
        <w:rPr>
          <w:i w:val="false"/>
          <w:iCs w:val="false"/>
          <w:sz w:val="20"/>
          <w:szCs w:val="20"/>
        </w:rPr>
        <w:t xml:space="preserve"> Probamos 36 combinaciones de parámetros. La regla anual es la que peor describe el parque: el retorno real le queda 200 días tarde (Figura 2). Además, contrastamos la definición con una solución hecha por separado, que usaba un horizonte de un mes. La diferencia resultó ser sólo el horizonte: entre el 40 % y el 44 % de los clientes que esa solución daba por perdidos completan el service antes del cierre de nuestra ventana. Son clientes tardíos, no perdidos. El detalle de las alternativas y del contraste está en el Anexo C.</w:t>
      </w:r>
    </w:p>
    <w:p>
      <w:pPr>
        <w:pStyle w:val="Normal"/>
        <w:keepNext w:val="true"/>
        <w:spacing w:before="120" w:after="0"/>
        <w:ind w:left="170"/>
        <w:jc w:val="center"/>
        <w:rPr/>
      </w:pPr>
      <w:r>
        <w:rPr/>
        <w:drawing>
          <wp:inline distT="0" distB="0" distL="0" distR="0">
            <wp:extent cx="4699000" cy="1566545"/>
            <wp:effectExtent l="0" t="0" r="0" b="0"/>
            <wp:docPr id="3" name="Figura 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 2" descr=""/>
                    <pic:cNvPicPr>
                      <a:picLocks noChangeAspect="1" noChangeArrowheads="1"/>
                    </pic:cNvPicPr>
                  </pic:nvPicPr>
                  <pic:blipFill>
                    <a:blip r:embed="rId11"/>
                    <a:stretch>
                      <a:fillRect/>
                    </a:stretch>
                  </pic:blipFill>
                  <pic:spPr bwMode="auto">
                    <a:xfrm>
                      <a:off x="0" y="0"/>
                      <a:ext cx="4699000" cy="1566545"/>
                    </a:xfrm>
                    <a:prstGeom prst="rect">
                      <a:avLst/>
                    </a:prstGeom>
                  </pic:spPr>
                </pic:pic>
              </a:graphicData>
            </a:graphic>
          </wp:inline>
        </w:drawing>
      </w:r>
    </w:p>
    <w:p>
      <w:pPr>
        <w:pStyle w:val="Caption"/>
        <w:spacing w:before="40" w:after="160"/>
        <w:ind w:left="170" w:right="120"/>
        <w:jc w:val="center"/>
        <w:rPr/>
      </w:pPr>
      <w:r>
        <w:rPr>
          <w:sz w:val="16"/>
          <w:szCs w:val="16"/>
        </w:rPr>
        <w:t>Figura 2. Retraso del retorno real respecto del vencimiento estimado, según regla. La regla por generación centra el retorno; la regla anual queda 200 días tarde.</w:t>
      </w:r>
    </w:p>
    <w:p>
      <w:pPr>
        <w:pStyle w:val="Heading3"/>
        <w:numPr>
          <w:ilvl w:val="2"/>
          <w:numId w:val="1"/>
        </w:numPr>
        <w:tabs>
          <w:tab w:val="clear" w:pos="720"/>
          <w:tab w:val="left" w:pos="840" w:leader="none"/>
        </w:tabs>
        <w:spacing w:before="240" w:after="0"/>
        <w:ind w:hanging="670" w:left="840"/>
        <w:rPr/>
      </w:pPr>
      <w:bookmarkStart w:id="16" w:name="_Toc241673385"/>
      <w:r>
        <w:rPr/>
        <w:t>Features y seguridad temporal</w:t>
      </w:r>
      <w:bookmarkEnd w:id="16"/>
    </w:p>
    <w:p>
      <w:pPr>
        <w:pStyle w:val="BodyText"/>
        <w:spacing w:lineRule="auto" w:line="264" w:before="90" w:after="0"/>
        <w:ind w:left="170" w:right="120"/>
        <w:jc w:val="both"/>
        <w:rPr/>
      </w:pPr>
      <w:r>
        <w:rPr>
          <w:i w:val="false"/>
          <w:iCs w:val="false"/>
          <w:sz w:val="20"/>
          <w:szCs w:val="20"/>
        </w:rPr>
        <w:t>Toda la construcción de variables sigue una sola regla: para una ventana que se evalúa en la fecha t, sólo entra información anterior a t. Se implementa con acumulados por vehículo y uniones temporales estrictas, y un notebook verifica que ninguna recencia sea menor o igual a cero.</w:t>
      </w:r>
    </w:p>
    <w:p>
      <w:pPr>
        <w:pStyle w:val="BodyText"/>
        <w:spacing w:lineRule="auto" w:line="264" w:before="90" w:after="0"/>
        <w:ind w:left="170" w:right="120"/>
        <w:jc w:val="both"/>
        <w:rPr/>
      </w:pPr>
      <w:r>
        <w:rPr>
          <w:i w:val="false"/>
          <w:iCs w:val="false"/>
          <w:sz w:val="20"/>
          <w:szCs w:val="20"/>
        </w:rPr>
        <w:t>Con esa regla se construyen 86 variables en nueve grupos, desde la recencia y la frecuencia de visitas hasta el uso del vehículo, el canal de reserva y el concesionario. La lista completa está en el Anexo D.</w:t>
      </w:r>
    </w:p>
    <w:p>
      <w:pPr>
        <w:pStyle w:val="BodyText"/>
        <w:spacing w:lineRule="auto" w:line="264" w:before="90" w:after="0"/>
        <w:ind w:left="170" w:right="120"/>
        <w:jc w:val="both"/>
        <w:rPr/>
      </w:pPr>
      <w:r>
        <w:rPr>
          <w:b/>
          <w:bCs/>
          <w:i w:val="false"/>
          <w:iCs w:val="false"/>
          <w:sz w:val="20"/>
          <w:szCs w:val="20"/>
        </w:rPr>
        <w:t>Anti-leakage.</w:t>
      </w:r>
      <w:r>
        <w:rPr>
          <w:i w:val="false"/>
          <w:iCs w:val="false"/>
          <w:sz w:val="20"/>
          <w:szCs w:val="20"/>
        </w:rPr>
        <w:t xml:space="preserve"> Quedan afuera KM y ConnectedStatusARG, porque son fotos del día de extracción; los turnos futuros, porque no hay fecha de creación del turno ("ya tiene turno" se usa después del modelo, como regla operativa); y ServiceMonth, porque es nominal. La historia anterior a 2024 no se ve en los datos: se compensa con la antigüedad, el número de service y los meses de historia observable, y una ablación confirma que no distorsiona el resultado.</w:t>
      </w:r>
    </w:p>
    <w:p>
      <w:pPr>
        <w:pStyle w:val="Heading3"/>
        <w:numPr>
          <w:ilvl w:val="2"/>
          <w:numId w:val="1"/>
        </w:numPr>
        <w:tabs>
          <w:tab w:val="clear" w:pos="720"/>
          <w:tab w:val="left" w:pos="840" w:leader="none"/>
        </w:tabs>
        <w:spacing w:before="240" w:after="0"/>
        <w:ind w:hanging="670" w:left="840"/>
        <w:rPr/>
      </w:pPr>
      <w:bookmarkStart w:id="17" w:name="_Toc241673386"/>
      <w:r>
        <w:rPr/>
        <w:t>Modelo, validación temporal y calibración</w:t>
      </w:r>
      <w:bookmarkEnd w:id="17"/>
    </w:p>
    <w:p>
      <w:pPr>
        <w:pStyle w:val="BodyText"/>
        <w:spacing w:lineRule="auto" w:line="264" w:before="90" w:after="0"/>
        <w:ind w:left="170" w:right="120"/>
        <w:jc w:val="both"/>
        <w:rPr/>
      </w:pPr>
      <w:r>
        <w:rPr>
          <w:b/>
          <w:bCs/>
          <w:i w:val="false"/>
          <w:iCs w:val="false"/>
          <w:sz w:val="20"/>
          <w:szCs w:val="20"/>
        </w:rPr>
        <w:t>El modelo</w:t>
      </w:r>
      <w:r>
        <w:rPr>
          <w:i w:val="false"/>
          <w:iCs w:val="false"/>
          <w:sz w:val="20"/>
          <w:szCs w:val="20"/>
        </w:rPr>
        <w:t xml:space="preserve"> es un LightGBM calibrado. Se compara contra el orden actual (contactar sin priorizar, equivalente al azar), una heurística de reglas y una regresión logística.</w:t>
      </w:r>
    </w:p>
    <w:p>
      <w:pPr>
        <w:pStyle w:val="BodyText"/>
        <w:spacing w:lineRule="auto" w:line="264" w:before="90" w:after="0"/>
        <w:ind w:left="170" w:right="120"/>
        <w:jc w:val="both"/>
        <w:rPr/>
      </w:pPr>
      <w:r>
        <w:rPr>
          <w:b/>
          <w:bCs/>
          <w:i w:val="false"/>
          <w:iCs w:val="false"/>
          <w:sz w:val="20"/>
          <w:szCs w:val="20"/>
        </w:rPr>
        <w:t>La validación imita el uso real.</w:t>
      </w:r>
      <w:r>
        <w:rPr>
          <w:i w:val="false"/>
          <w:iCs w:val="false"/>
          <w:sz w:val="20"/>
          <w:szCs w:val="20"/>
        </w:rPr>
        <w:t xml:space="preserve"> El modelo se entrenó con ventanas abiertas hasta el 30/09/2025, se calibró con el trimestre siguiente y se evaluó en 19.709 ventanas de enero a marzo de 2026 que nunca había visto. No usamos validación cruzada aleatoria porque mezclaría ventanas del mismo vehículo y escondería que la composición del parque cambia mes a mes (Anexo D).</w:t>
      </w:r>
    </w:p>
    <w:p>
      <w:pPr>
        <w:pStyle w:val="BodyText"/>
        <w:spacing w:lineRule="auto" w:line="264" w:before="90" w:after="0"/>
        <w:ind w:left="170" w:right="120"/>
        <w:jc w:val="both"/>
        <w:rPr/>
      </w:pPr>
      <w:r>
        <w:rPr>
          <w:b/>
          <w:bCs/>
          <w:i w:val="false"/>
          <w:iCs w:val="false"/>
          <w:sz w:val="20"/>
          <w:szCs w:val="20"/>
        </w:rPr>
        <w:t>Ordena mucho mejor que hoy.</w:t>
      </w:r>
      <w:r>
        <w:rPr>
          <w:i w:val="false"/>
          <w:iCs w:val="false"/>
          <w:sz w:val="20"/>
          <w:szCs w:val="20"/>
        </w:rPr>
        <w:t xml:space="preserve"> Su ROC-AUC es 0,740, contra 0,497 del orden actual, y supera también a la heurística y a la regresión logística. La tabla completa de métricas, con PR-AUC, Brier y error de calibración, está en el Anexo E.</w:t>
      </w:r>
    </w:p>
    <w:p>
      <w:pPr>
        <w:pStyle w:val="BodyText"/>
        <w:spacing w:lineRule="auto" w:line="264" w:before="90" w:after="0"/>
        <w:ind w:left="170" w:right="120"/>
        <w:jc w:val="both"/>
        <w:rPr/>
      </w:pPr>
      <w:r>
        <w:rPr>
          <w:b/>
          <w:bCs/>
          <w:i w:val="false"/>
          <w:iCs w:val="false"/>
          <w:sz w:val="20"/>
          <w:szCs w:val="20"/>
        </w:rPr>
        <w:t>Lo que importa en la operación es a cuántos de los que se van se llega.</w:t>
      </w:r>
      <w:r>
        <w:rPr>
          <w:i w:val="false"/>
          <w:iCs w:val="false"/>
          <w:sz w:val="20"/>
          <w:szCs w:val="20"/>
        </w:rPr>
        <w:t xml:space="preserve"> Contactando al 20 % de mayor riesgo se alcanza al 36 % de los que iban a abandonar, 1,8 veces más que hoy (Figura 3). Con 3.000 contactos por mes entre todos los concesionarios, se llega al 65 %. Los resultados para otras capacidades están en el Anexo E.</w:t>
      </w:r>
    </w:p>
    <w:p>
      <w:pPr>
        <w:pStyle w:val="Normal"/>
        <w:keepNext w:val="true"/>
        <w:spacing w:before="120" w:after="0"/>
        <w:ind w:left="170"/>
        <w:jc w:val="center"/>
        <w:rPr/>
      </w:pPr>
      <w:r>
        <w:rPr/>
        <w:drawing>
          <wp:inline distT="0" distB="0" distL="0" distR="0">
            <wp:extent cx="4064000" cy="2769235"/>
            <wp:effectExtent l="0" t="0" r="0" b="0"/>
            <wp:docPr id="4" name="Figura 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 3" descr=""/>
                    <pic:cNvPicPr>
                      <a:picLocks noChangeAspect="1" noChangeArrowheads="1"/>
                    </pic:cNvPicPr>
                  </pic:nvPicPr>
                  <pic:blipFill>
                    <a:blip r:embed="rId12"/>
                    <a:stretch>
                      <a:fillRect/>
                    </a:stretch>
                  </pic:blipFill>
                  <pic:spPr bwMode="auto">
                    <a:xfrm>
                      <a:off x="0" y="0"/>
                      <a:ext cx="4064000" cy="2769235"/>
                    </a:xfrm>
                    <a:prstGeom prst="rect">
                      <a:avLst/>
                    </a:prstGeom>
                  </pic:spPr>
                </pic:pic>
              </a:graphicData>
            </a:graphic>
          </wp:inline>
        </w:drawing>
      </w:r>
    </w:p>
    <w:p>
      <w:pPr>
        <w:pStyle w:val="Caption"/>
        <w:spacing w:before="40" w:after="160"/>
        <w:ind w:left="170" w:right="120"/>
        <w:jc w:val="center"/>
        <w:rPr/>
      </w:pPr>
      <w:r>
        <w:rPr>
          <w:sz w:val="16"/>
          <w:szCs w:val="16"/>
        </w:rPr>
        <w:t>Figura 3. Curva de ganancia en test: porcentaje de los que se van alcanzados según el porcentaje de la población contactada.</w:t>
      </w:r>
    </w:p>
    <w:p>
      <w:pPr>
        <w:pStyle w:val="BodyText"/>
        <w:spacing w:lineRule="auto" w:line="264" w:before="90" w:after="0"/>
        <w:ind w:left="170" w:right="120"/>
        <w:jc w:val="both"/>
        <w:rPr/>
      </w:pPr>
      <w:r>
        <w:rPr>
          <w:b/>
          <w:bCs/>
          <w:i w:val="false"/>
          <w:iCs w:val="false"/>
          <w:sz w:val="20"/>
          <w:szCs w:val="20"/>
        </w:rPr>
        <w:t>Las probabilidades son reales.</w:t>
      </w:r>
      <w:r>
        <w:rPr>
          <w:i w:val="false"/>
          <w:iCs w:val="false"/>
          <w:sz w:val="20"/>
          <w:szCs w:val="20"/>
        </w:rPr>
        <w:t xml:space="preserve"> Cuando el modelo dice 70 %, siete de cada diez clientes no vuelven: el error de calibración es de un punto porcentual (Figura 4). Eso permite planificar la capacidad de contacto con números en los que se puede confiar.</w:t>
      </w:r>
    </w:p>
    <w:p>
      <w:pPr>
        <w:pStyle w:val="Normal"/>
        <w:keepNext w:val="true"/>
        <w:spacing w:before="120" w:after="0"/>
        <w:ind w:left="170"/>
        <w:jc w:val="center"/>
        <w:rPr/>
      </w:pPr>
      <w:r>
        <w:rPr/>
        <w:drawing>
          <wp:inline distT="0" distB="0" distL="0" distR="0">
            <wp:extent cx="3175000" cy="3178175"/>
            <wp:effectExtent l="0" t="0" r="0" b="0"/>
            <wp:docPr id="5" name="Figura 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 4" descr=""/>
                    <pic:cNvPicPr>
                      <a:picLocks noChangeAspect="1" noChangeArrowheads="1"/>
                    </pic:cNvPicPr>
                  </pic:nvPicPr>
                  <pic:blipFill>
                    <a:blip r:embed="rId13"/>
                    <a:stretch>
                      <a:fillRect/>
                    </a:stretch>
                  </pic:blipFill>
                  <pic:spPr bwMode="auto">
                    <a:xfrm>
                      <a:off x="0" y="0"/>
                      <a:ext cx="3175000" cy="3178175"/>
                    </a:xfrm>
                    <a:prstGeom prst="rect">
                      <a:avLst/>
                    </a:prstGeom>
                  </pic:spPr>
                </pic:pic>
              </a:graphicData>
            </a:graphic>
          </wp:inline>
        </w:drawing>
      </w:r>
    </w:p>
    <w:p>
      <w:pPr>
        <w:pStyle w:val="Caption"/>
        <w:spacing w:before="40" w:after="160"/>
        <w:ind w:left="170" w:right="120"/>
        <w:jc w:val="center"/>
        <w:rPr/>
      </w:pPr>
      <w:r>
        <w:rPr>
          <w:sz w:val="16"/>
          <w:szCs w:val="16"/>
        </w:rPr>
        <w:t>Figura 4. Probabilidad declarada vs tasa observada por decil. ECE = 0,010: cuando el modelo dice 70 %, siete de cada diez no vuelven.</w:t>
      </w:r>
    </w:p>
    <w:p>
      <w:pPr>
        <w:pStyle w:val="BodyText"/>
        <w:spacing w:lineRule="auto" w:line="264" w:before="90" w:after="0"/>
        <w:ind w:left="170" w:right="120"/>
        <w:jc w:val="both"/>
        <w:rPr/>
      </w:pPr>
      <w:r>
        <w:rPr>
          <w:b/>
          <w:bCs/>
          <w:i w:val="false"/>
          <w:iCs w:val="false"/>
          <w:sz w:val="20"/>
          <w:szCs w:val="20"/>
        </w:rPr>
        <w:t>El resultado es robusto y no tiene leakage.</w:t>
      </w:r>
      <w:r>
        <w:rPr>
          <w:i w:val="false"/>
          <w:iCs w:val="false"/>
          <w:sz w:val="20"/>
          <w:szCs w:val="20"/>
        </w:rPr>
        <w:t xml:space="preserve"> Repetimos la evaluación con nueve variantes sobre el mismo test (Anexo E). Las que quitan grupos de variables o exigen más historia quedan entre 0,735 y 0,739: el resultado no depende de ninguna pieza en particular. La única variante que "mejora" es la que usa KM como si fuera el kilometraje de cada visita: llega a 0,813 pero rompe la calibración. Es el número que habría mostrado un modelo con información del futuro, y por eso no lo usamos.</w:t>
      </w:r>
    </w:p>
    <w:p>
      <w:pPr>
        <w:pStyle w:val="Heading3"/>
        <w:numPr>
          <w:ilvl w:val="2"/>
          <w:numId w:val="1"/>
        </w:numPr>
        <w:tabs>
          <w:tab w:val="clear" w:pos="720"/>
          <w:tab w:val="left" w:pos="840" w:leader="none"/>
        </w:tabs>
        <w:spacing w:before="240" w:after="0"/>
        <w:ind w:hanging="670" w:left="840"/>
        <w:rPr/>
      </w:pPr>
      <w:bookmarkStart w:id="18" w:name="_Toc241673387"/>
      <w:r>
        <w:rPr/>
        <w:t>Qué explica el riesgo</w:t>
      </w:r>
      <w:bookmarkEnd w:id="18"/>
    </w:p>
    <w:p>
      <w:pPr>
        <w:pStyle w:val="BodyText"/>
        <w:spacing w:lineRule="auto" w:line="264" w:before="90" w:after="0"/>
        <w:ind w:left="170" w:right="120"/>
        <w:jc w:val="both"/>
        <w:rPr/>
      </w:pPr>
      <w:r>
        <w:rPr>
          <w:i w:val="false"/>
          <w:iCs w:val="false"/>
          <w:sz w:val="20"/>
          <w:szCs w:val="20"/>
        </w:rPr>
        <w:t>El modelo explica el riesgo con cinco familias de motivos, que cuentan la misma historia a nivel global y en cada vehículo (importancia global en el Anexo E):</w:t>
      </w:r>
    </w:p>
    <w:p>
      <w:pPr>
        <w:pStyle w:val="ListParagraph"/>
        <w:numPr>
          <w:ilvl w:val="0"/>
          <w:numId w:val="2"/>
        </w:numPr>
        <w:spacing w:lineRule="auto" w:line="259" w:before="50" w:after="0"/>
        <w:ind w:hanging="220" w:left="560" w:right="120"/>
        <w:jc w:val="both"/>
        <w:rPr/>
      </w:pPr>
      <w:r>
        <w:rPr>
          <w:b/>
          <w:bCs/>
          <w:sz w:val="20"/>
          <w:szCs w:val="20"/>
        </w:rPr>
        <w:t>Ciclo de vida.</w:t>
      </w:r>
      <w:r>
        <w:rPr>
          <w:sz w:val="20"/>
          <w:szCs w:val="20"/>
        </w:rPr>
        <w:t xml:space="preserve"> El riesgo crece con la edad del vehículo, su versión y su generación.</w:t>
      </w:r>
    </w:p>
    <w:p>
      <w:pPr>
        <w:pStyle w:val="ListParagraph"/>
        <w:numPr>
          <w:ilvl w:val="0"/>
          <w:numId w:val="2"/>
        </w:numPr>
        <w:spacing w:lineRule="auto" w:line="259" w:before="50" w:after="0"/>
        <w:ind w:hanging="220" w:left="560" w:right="120"/>
        <w:jc w:val="both"/>
        <w:rPr/>
      </w:pPr>
      <w:r>
        <w:rPr>
          <w:b/>
          <w:bCs/>
          <w:sz w:val="20"/>
          <w:szCs w:val="20"/>
        </w:rPr>
        <w:t>Intensidad de la relación.</w:t>
      </w:r>
      <w:r>
        <w:rPr>
          <w:sz w:val="20"/>
          <w:szCs w:val="20"/>
        </w:rPr>
        <w:t xml:space="preserve"> El cliente que viene seguido sigue viniendo.</w:t>
      </w:r>
    </w:p>
    <w:p>
      <w:pPr>
        <w:pStyle w:val="ListParagraph"/>
        <w:numPr>
          <w:ilvl w:val="0"/>
          <w:numId w:val="2"/>
        </w:numPr>
        <w:spacing w:lineRule="auto" w:line="259" w:before="50" w:after="0"/>
        <w:ind w:hanging="220" w:left="560" w:right="120"/>
        <w:jc w:val="both"/>
        <w:rPr/>
      </w:pPr>
      <w:r>
        <w:rPr>
          <w:b/>
          <w:bCs/>
          <w:sz w:val="20"/>
          <w:szCs w:val="20"/>
        </w:rPr>
        <w:t>Uso y atraso.</w:t>
      </w:r>
      <w:r>
        <w:rPr>
          <w:sz w:val="20"/>
          <w:szCs w:val="20"/>
        </w:rPr>
        <w:t xml:space="preserve"> Quien llegó tarde a su último service tiene más chances de no llegar al próximo.</w:t>
      </w:r>
    </w:p>
    <w:p>
      <w:pPr>
        <w:pStyle w:val="ListParagraph"/>
        <w:numPr>
          <w:ilvl w:val="0"/>
          <w:numId w:val="2"/>
        </w:numPr>
        <w:spacing w:lineRule="auto" w:line="259" w:before="50" w:after="0"/>
        <w:ind w:hanging="220" w:left="560" w:right="120"/>
        <w:jc w:val="both"/>
        <w:rPr/>
      </w:pPr>
      <w:r>
        <w:rPr>
          <w:b/>
          <w:bCs/>
          <w:sz w:val="20"/>
          <w:szCs w:val="20"/>
        </w:rPr>
        <w:t>Flota.</w:t>
      </w:r>
      <w:r>
        <w:rPr>
          <w:sz w:val="20"/>
          <w:szCs w:val="20"/>
        </w:rPr>
        <w:t xml:space="preserve"> Las flotas grandes entran menos a los concesionarios oficiales.</w:t>
      </w:r>
    </w:p>
    <w:p>
      <w:pPr>
        <w:pStyle w:val="ListParagraph"/>
        <w:numPr>
          <w:ilvl w:val="0"/>
          <w:numId w:val="2"/>
        </w:numPr>
        <w:spacing w:lineRule="auto" w:line="259" w:before="50" w:after="0"/>
        <w:ind w:hanging="220" w:left="560" w:right="120"/>
        <w:jc w:val="both"/>
        <w:rPr/>
      </w:pPr>
      <w:r>
        <w:rPr>
          <w:b/>
          <w:bCs/>
          <w:sz w:val="20"/>
          <w:szCs w:val="20"/>
        </w:rPr>
        <w:t>Concesionario.</w:t>
      </w:r>
      <w:r>
        <w:rPr>
          <w:sz w:val="20"/>
          <w:szCs w:val="20"/>
        </w:rPr>
        <w:t xml:space="preserve"> Es un motivo accionable, con diferencias reales y estables entre años.</w:t>
      </w:r>
    </w:p>
    <w:p>
      <w:pPr>
        <w:pStyle w:val="BodyText"/>
        <w:spacing w:lineRule="auto" w:line="264" w:before="90" w:after="0"/>
        <w:ind w:left="170" w:right="120"/>
        <w:jc w:val="both"/>
        <w:rPr/>
      </w:pPr>
      <w:r>
        <w:rPr>
          <w:i w:val="false"/>
          <w:iCs w:val="false"/>
          <w:sz w:val="20"/>
          <w:szCs w:val="20"/>
        </w:rPr>
        <w:t>Cada vehículo llega a la lista con sus tres motivos principales, escritos para que el asesor sepa qué decir. Un caso real de la lista de hoy: una Ranger 2019, con 76 % de probabilidad de no volver, que tiene siete años, viene menos de una vez por año aunque por su uso necesita service cada cuatro o cinco meses, y dejó pasar trece meses entre sus dos últimos services.</w:t>
      </w:r>
    </w:p>
    <w:p>
      <w:pPr>
        <w:pStyle w:val="Heading3"/>
        <w:numPr>
          <w:ilvl w:val="2"/>
          <w:numId w:val="1"/>
        </w:numPr>
        <w:tabs>
          <w:tab w:val="clear" w:pos="720"/>
          <w:tab w:val="left" w:pos="840" w:leader="none"/>
        </w:tabs>
        <w:spacing w:before="240" w:after="0"/>
        <w:ind w:hanging="670" w:left="840"/>
        <w:rPr/>
      </w:pPr>
      <w:bookmarkStart w:id="19" w:name="_Toc241673388"/>
      <w:r>
        <w:rPr/>
        <w:t>Segmentos accionables, activación e integración</w:t>
      </w:r>
      <w:bookmarkEnd w:id="19"/>
    </w:p>
    <w:p>
      <w:pPr>
        <w:pStyle w:val="BodyText"/>
        <w:spacing w:lineRule="auto" w:line="264" w:before="90" w:after="0"/>
        <w:ind w:left="170" w:right="120"/>
        <w:jc w:val="both"/>
        <w:rPr/>
      </w:pPr>
      <w:r>
        <w:rPr>
          <w:i w:val="false"/>
          <w:iCs w:val="false"/>
          <w:sz w:val="20"/>
          <w:szCs w:val="20"/>
        </w:rPr>
        <w:t>La capacidad de contacto de los concesionarios es finita, así que la lista se divide en tres grupos y cada uno recibe un contacto distinto (tabla completa en el Anexo F):</w:t>
      </w:r>
    </w:p>
    <w:p>
      <w:pPr>
        <w:pStyle w:val="ListParagraph"/>
        <w:numPr>
          <w:ilvl w:val="0"/>
          <w:numId w:val="2"/>
        </w:numPr>
        <w:spacing w:lineRule="auto" w:line="259" w:before="50" w:after="0"/>
        <w:ind w:hanging="220" w:left="560" w:right="120"/>
        <w:jc w:val="both"/>
        <w:rPr/>
      </w:pPr>
      <w:r>
        <w:rPr>
          <w:b/>
          <w:bCs/>
          <w:sz w:val="20"/>
          <w:szCs w:val="20"/>
        </w:rPr>
        <w:t>Alto: el 20 % de mayor riesgo, donde el 78 % se va.</w:t>
      </w:r>
      <w:r>
        <w:rPr>
          <w:sz w:val="20"/>
          <w:szCs w:val="20"/>
        </w:rPr>
        <w:t xml:space="preserve"> Recibe un contacto personal del asesor en las primeras 48 horas, con una oferta concreta: el descuento por continuidad que Ford ya tiene, precio fijo o turno con retiro y entrega. Canal: Service Leads.</w:t>
      </w:r>
    </w:p>
    <w:p>
      <w:pPr>
        <w:pStyle w:val="ListParagraph"/>
        <w:numPr>
          <w:ilvl w:val="0"/>
          <w:numId w:val="2"/>
        </w:numPr>
        <w:spacing w:lineRule="auto" w:line="259" w:before="50" w:after="0"/>
        <w:ind w:hanging="220" w:left="560" w:right="120"/>
        <w:jc w:val="both"/>
        <w:rPr/>
      </w:pPr>
      <w:r>
        <w:rPr>
          <w:b/>
          <w:bCs/>
          <w:sz w:val="20"/>
          <w:szCs w:val="20"/>
        </w:rPr>
        <w:t>Medio: el 30 % siguiente, donde el 47 % se va.</w:t>
      </w:r>
      <w:r>
        <w:rPr>
          <w:sz w:val="20"/>
          <w:szCs w:val="20"/>
        </w:rPr>
        <w:t xml:space="preserve"> Recibe un recordatorio personalizado con un turno sugerido por FordPass o WhatsApp, y un segundo mensaje a los 10 días si no agenda.</w:t>
      </w:r>
    </w:p>
    <w:p>
      <w:pPr>
        <w:pStyle w:val="ListParagraph"/>
        <w:numPr>
          <w:ilvl w:val="0"/>
          <w:numId w:val="2"/>
        </w:numPr>
        <w:spacing w:lineRule="auto" w:line="259" w:before="50" w:after="0"/>
        <w:ind w:hanging="220" w:left="560" w:right="120"/>
        <w:jc w:val="both"/>
        <w:rPr/>
      </w:pPr>
      <w:r>
        <w:rPr>
          <w:b/>
          <w:bCs/>
          <w:sz w:val="20"/>
          <w:szCs w:val="20"/>
        </w:rPr>
        <w:t>Bajo: el 50 % restante, donde el 26 % se va.</w:t>
      </w:r>
      <w:r>
        <w:rPr>
          <w:sz w:val="20"/>
          <w:szCs w:val="20"/>
        </w:rPr>
        <w:t xml:space="preserve"> Son clientes que en su mayoría vuelven solos: reciben el recordatorio automático de Service Reminder.</w:t>
      </w:r>
    </w:p>
    <w:p>
      <w:pPr>
        <w:pStyle w:val="BodyText"/>
        <w:spacing w:lineRule="auto" w:line="264" w:before="90" w:after="0"/>
        <w:ind w:left="170" w:right="120"/>
        <w:jc w:val="both"/>
        <w:rPr/>
      </w:pPr>
      <w:r>
        <w:rPr>
          <w:i w:val="false"/>
          <w:iCs w:val="false"/>
          <w:sz w:val="20"/>
          <w:szCs w:val="20"/>
        </w:rPr>
        <w:t>Alrededor del modelo hay cuatro reglas operativas. El vehículo que ya tiene turno sale de la lista. Entre dos casos parecidos, va primero el que tiene menos días de margen. Un cliente con varios vehículos en ventana recibe un único contacto con todas sus unidades. Y las identidades ambiguas se resuelven en el CRM antes de contactar.</w:t>
      </w:r>
    </w:p>
    <w:p>
      <w:pPr>
        <w:pStyle w:val="BodyText"/>
        <w:spacing w:lineRule="auto" w:line="264" w:before="90" w:after="0"/>
        <w:ind w:left="170" w:right="120"/>
        <w:jc w:val="both"/>
        <w:rPr/>
      </w:pPr>
      <w:r>
        <w:rPr>
          <w:b/>
          <w:bCs/>
          <w:i w:val="false"/>
          <w:iCs w:val="false"/>
          <w:sz w:val="20"/>
          <w:szCs w:val="20"/>
        </w:rPr>
        <w:t>Cómo se opera.</w:t>
      </w:r>
      <w:r>
        <w:rPr>
          <w:i w:val="false"/>
          <w:iCs w:val="false"/>
          <w:sz w:val="20"/>
          <w:szCs w:val="20"/>
        </w:rPr>
        <w:t xml:space="preserve"> El score se calcula en lote el primer día de cada mes y el modelo se re-entrena cada trimestre. BigQuery genera la población en ventana, el pipeline produce el score con el formato que pide la ficha, Service Leads y Service Reminder lo reciben, y el CRM valida identidad, consentimiento y turnos vigentes antes de cada contacto. Hoy la lista tiene 30.504 vehículos (Anexo F). Un dashboard permite recorrer la bandeja, filtrar por concesionario y abrir la ficha de cada vehículo.</w:t>
      </w:r>
    </w:p>
    <w:p>
      <w:pPr>
        <w:pStyle w:val="Heading3"/>
        <w:numPr>
          <w:ilvl w:val="2"/>
          <w:numId w:val="1"/>
        </w:numPr>
        <w:tabs>
          <w:tab w:val="clear" w:pos="720"/>
          <w:tab w:val="left" w:pos="840" w:leader="none"/>
        </w:tabs>
        <w:spacing w:before="240" w:after="0"/>
        <w:ind w:hanging="670" w:left="840"/>
        <w:rPr/>
      </w:pPr>
      <w:bookmarkStart w:id="20" w:name="_Toc241673389"/>
      <w:r>
        <w:rPr/>
        <w:t>Recompra observable: evidencia complementaria</w:t>
      </w:r>
      <w:bookmarkEnd w:id="20"/>
    </w:p>
    <w:p>
      <w:pPr>
        <w:pStyle w:val="BodyText"/>
        <w:spacing w:lineRule="auto" w:line="264" w:before="90" w:after="0"/>
        <w:ind w:left="170" w:right="120"/>
        <w:jc w:val="both"/>
        <w:rPr/>
      </w:pPr>
      <w:r>
        <w:rPr>
          <w:i w:val="false"/>
          <w:iCs w:val="false"/>
          <w:sz w:val="20"/>
          <w:szCs w:val="20"/>
        </w:rPr>
        <w:t>Aunque el target es la retención de service, el dataset permite ver la recompra que motiva el desafío: el 20,6 % de las ventas de 2024-2026 son de clientes que ya tenían otra Ranger y la llevaban al service. Con esos casos se puede entrenar un segundo modelo, directamente sobre la recompra (Anexo G y sección 5).</w:t>
      </w:r>
    </w:p>
    <w:p>
      <w:pPr>
        <w:pStyle w:val="Heading3"/>
        <w:numPr>
          <w:ilvl w:val="2"/>
          <w:numId w:val="1"/>
        </w:numPr>
        <w:tabs>
          <w:tab w:val="clear" w:pos="720"/>
          <w:tab w:val="left" w:pos="840" w:leader="none"/>
        </w:tabs>
        <w:spacing w:before="240" w:after="0"/>
        <w:ind w:hanging="670" w:left="840"/>
        <w:rPr/>
      </w:pPr>
      <w:bookmarkStart w:id="21" w:name="_Toc241673390"/>
      <w:r>
        <w:rPr/>
        <w:t>Reproducibilidad</w:t>
      </w:r>
      <w:bookmarkEnd w:id="21"/>
    </w:p>
    <w:p>
      <w:pPr>
        <w:pStyle w:val="BodyText"/>
        <w:spacing w:lineRule="auto" w:line="264" w:before="90" w:after="0"/>
        <w:ind w:left="170" w:right="120"/>
        <w:jc w:val="both"/>
        <w:rPr/>
      </w:pPr>
      <w:r>
        <w:rPr>
          <w:i w:val="false"/>
          <w:iCs w:val="false"/>
          <w:sz w:val="20"/>
          <w:szCs w:val="20"/>
        </w:rPr>
        <w:t>Todo el trabajo corre con un solo comando (scripts/run_pipeline.py) en unos tres minutos, desde la carga de los datos hasta el score de la población actual. Los parámetros de ventana y los supuestos de negocio están en archivos de configuración, y los análisis, la sensibilidad de la ventana, las ablaciones y el contraste con la solución independiente son scripts propios. Tres notebooks ejecutados sirven de evidencia técnica (Anexo J).</w:t>
      </w:r>
    </w:p>
    <w:p>
      <w:pPr>
        <w:pStyle w:val="Heading3"/>
        <w:numPr>
          <w:ilvl w:val="2"/>
          <w:numId w:val="1"/>
        </w:numPr>
        <w:tabs>
          <w:tab w:val="clear" w:pos="720"/>
          <w:tab w:val="left" w:pos="840" w:leader="none"/>
        </w:tabs>
        <w:ind w:hanging="670" w:left="840"/>
        <w:rPr/>
      </w:pPr>
      <w:bookmarkStart w:id="22" w:name="_Toc241673391"/>
      <w:bookmarkStart w:id="23" w:name="Información_Complementaria"/>
      <w:bookmarkStart w:id="24" w:name="_bookmark5"/>
      <w:bookmarkEnd w:id="23"/>
      <w:bookmarkEnd w:id="24"/>
      <w:r>
        <w:rPr>
          <w:spacing w:val="-7"/>
        </w:rPr>
        <w:t>Información</w:t>
      </w:r>
      <w:r>
        <w:rPr>
          <w:spacing w:val="23"/>
        </w:rPr>
        <w:t xml:space="preserve"> </w:t>
      </w:r>
      <w:r>
        <w:rPr>
          <w:spacing w:val="-2"/>
        </w:rPr>
        <w:t>Complementaria</w:t>
      </w:r>
      <w:bookmarkEnd w:id="22"/>
    </w:p>
    <w:p>
      <w:pPr>
        <w:pStyle w:val="BodyText"/>
        <w:spacing w:lineRule="auto" w:line="264" w:before="90" w:after="0"/>
        <w:ind w:left="170" w:right="120"/>
        <w:jc w:val="both"/>
        <w:rPr/>
      </w:pPr>
      <w:r>
        <w:rPr>
          <w:i w:val="false"/>
          <w:iCs w:val="false"/>
          <w:sz w:val="20"/>
          <w:szCs w:val="20"/>
        </w:rPr>
        <w:t>El .zip que acompaña este informe incluye los entregables que no caben en el documento:</w:t>
      </w:r>
    </w:p>
    <w:p>
      <w:pPr>
        <w:pStyle w:val="ListParagraph"/>
        <w:numPr>
          <w:ilvl w:val="0"/>
          <w:numId w:val="2"/>
        </w:numPr>
        <w:spacing w:lineRule="auto" w:line="259" w:before="50" w:after="0"/>
        <w:ind w:hanging="220" w:left="560" w:right="120"/>
        <w:jc w:val="both"/>
        <w:rPr/>
      </w:pPr>
      <w:r>
        <w:rPr>
          <w:b/>
          <w:bCs/>
          <w:sz w:val="20"/>
          <w:szCs w:val="20"/>
        </w:rPr>
        <w:t>Dataset analítico documentado y definición reproducible del target</w:t>
      </w:r>
      <w:r>
        <w:rPr>
          <w:sz w:val="20"/>
          <w:szCs w:val="20"/>
        </w:rPr>
        <w:t>: config/params.json, src/repurchase/ventanas.py, docs/01_hallazgos_eda.md y docs/02_decisiones_y_descartes.md.</w:t>
      </w:r>
    </w:p>
    <w:p>
      <w:pPr>
        <w:pStyle w:val="ListParagraph"/>
        <w:numPr>
          <w:ilvl w:val="0"/>
          <w:numId w:val="2"/>
        </w:numPr>
        <w:spacing w:lineRule="auto" w:line="259" w:before="50" w:after="0"/>
        <w:ind w:hanging="220" w:left="560" w:right="120"/>
        <w:jc w:val="both"/>
        <w:rPr/>
      </w:pPr>
      <w:r>
        <w:rPr>
          <w:b/>
          <w:bCs/>
          <w:sz w:val="20"/>
          <w:szCs w:val="20"/>
        </w:rPr>
        <w:t>Pipeline de features, modelo entrenado y evaluación temporal</w:t>
      </w:r>
      <w:r>
        <w:rPr>
          <w:sz w:val="20"/>
          <w:szCs w:val="20"/>
        </w:rPr>
        <w:t>: src/repurchase/, scripts/run_pipeline.py, data/models/ (modelo, calibrador, métricas), reports/modelo/ (resumen de la corrida, lift por decil, calibración, ROI, sensibilidad, ablaciones).</w:t>
      </w:r>
    </w:p>
    <w:p>
      <w:pPr>
        <w:pStyle w:val="ListParagraph"/>
        <w:numPr>
          <w:ilvl w:val="0"/>
          <w:numId w:val="2"/>
        </w:numPr>
        <w:spacing w:lineRule="auto" w:line="259" w:before="50" w:after="0"/>
        <w:ind w:hanging="220" w:left="560" w:right="120"/>
        <w:jc w:val="both"/>
        <w:rPr/>
      </w:pPr>
      <w:r>
        <w:rPr>
          <w:b/>
          <w:bCs/>
          <w:sz w:val="20"/>
          <w:szCs w:val="20"/>
        </w:rPr>
        <w:t>Explicación global e individual</w:t>
      </w:r>
      <w:r>
        <w:rPr>
          <w:sz w:val="20"/>
          <w:szCs w:val="20"/>
        </w:rPr>
        <w:t>: reports/figures/modelo/shap_global.png y los drivers por vehículo en el ranking.</w:t>
      </w:r>
    </w:p>
    <w:p>
      <w:pPr>
        <w:pStyle w:val="ListParagraph"/>
        <w:numPr>
          <w:ilvl w:val="0"/>
          <w:numId w:val="2"/>
        </w:numPr>
        <w:spacing w:lineRule="auto" w:line="259" w:before="50" w:after="0"/>
        <w:ind w:hanging="220" w:left="560" w:right="120"/>
        <w:jc w:val="both"/>
        <w:rPr/>
      </w:pPr>
      <w:r>
        <w:rPr>
          <w:b/>
          <w:bCs/>
          <w:sz w:val="20"/>
          <w:szCs w:val="20"/>
        </w:rPr>
        <w:t>Ranking priorizado</w:t>
      </w:r>
      <w:r>
        <w:rPr>
          <w:sz w:val="20"/>
          <w:szCs w:val="20"/>
        </w:rPr>
        <w:t>: data/processed/scores_actuales.csv (30.504 vehículos con el output mínimo de la ficha) y la vista consolidada por usuario.</w:t>
      </w:r>
    </w:p>
    <w:p>
      <w:pPr>
        <w:pStyle w:val="ListParagraph"/>
        <w:numPr>
          <w:ilvl w:val="0"/>
          <w:numId w:val="2"/>
        </w:numPr>
        <w:spacing w:lineRule="auto" w:line="259" w:before="50" w:after="0"/>
        <w:ind w:hanging="220" w:left="560" w:right="120"/>
        <w:jc w:val="both"/>
        <w:rPr/>
      </w:pPr>
      <w:r>
        <w:rPr>
          <w:b/>
          <w:bCs/>
          <w:sz w:val="20"/>
          <w:szCs w:val="20"/>
        </w:rPr>
        <w:t>Propuesta de activación y demo</w:t>
      </w:r>
      <w:r>
        <w:rPr>
          <w:sz w:val="20"/>
          <w:szCs w:val="20"/>
        </w:rPr>
        <w:t>: app/app.py (dashboard con bandeja, ficha por vehículo, vista por usuario y por concesionario) y docs/03_pitch_trials_day.md.</w:t>
      </w:r>
    </w:p>
    <w:p>
      <w:pPr>
        <w:pStyle w:val="ListParagraph"/>
        <w:numPr>
          <w:ilvl w:val="0"/>
          <w:numId w:val="2"/>
        </w:numPr>
        <w:spacing w:lineRule="auto" w:line="259" w:before="50" w:after="0"/>
        <w:ind w:hanging="220" w:left="560" w:right="120"/>
        <w:jc w:val="both"/>
        <w:rPr/>
      </w:pPr>
      <w:r>
        <w:rPr>
          <w:b/>
          <w:bCs/>
          <w:sz w:val="20"/>
          <w:szCs w:val="20"/>
        </w:rPr>
        <w:t>Evidencia</w:t>
      </w:r>
      <w:r>
        <w:rPr>
          <w:sz w:val="20"/>
          <w:szCs w:val="20"/>
        </w:rPr>
        <w:t>: reports/eda/ (seis análisis con verificación independiente), notebooks/ (tres notebooks ejecutados), reports/revision_cruzada/ (comparación con la solución independiente y su verificación).</w:t>
      </w:r>
    </w:p>
    <w:p>
      <w:pPr>
        <w:pStyle w:val="BodyText"/>
        <w:spacing w:lineRule="auto" w:line="264" w:before="90" w:after="0"/>
        <w:ind w:left="170" w:right="120"/>
        <w:jc w:val="both"/>
        <w:rPr/>
      </w:pPr>
      <w:r>
        <w:rPr>
          <w:i w:val="false"/>
          <w:iCs w:val="false"/>
          <w:sz w:val="20"/>
          <w:szCs w:val="20"/>
        </w:rPr>
        <w:t>Al final de este documento, los Anexos reúnen la evidencia completa: datos recibidos (A), hallazgos con todas sus cifras (B), definición de la ventana y alternativas descartadas (C), features y validación (D), resultados completos y ablaciones (E), segmentos y formato de integración (F), recompra observable (G), impacto por capacidad de contacto (H), preguntas abiertas para Ford (I) y reproducibilidad (J). Otras figuras están disponibles en reports/figures/: curvas del primer service de la cohorte 2024, precisión-recall, segmentos, distribución de intervalos, tasa de uso, estacionalidad, identidad y flotas, censura a la izquierda y snapshot de conectividad.</w:t>
      </w:r>
    </w:p>
    <w:p>
      <w:pPr>
        <w:pStyle w:val="Heading2"/>
        <w:numPr>
          <w:ilvl w:val="1"/>
          <w:numId w:val="1"/>
        </w:numPr>
        <w:tabs>
          <w:tab w:val="clear" w:pos="720"/>
          <w:tab w:val="left" w:pos="615" w:leader="none"/>
        </w:tabs>
        <w:spacing w:before="293" w:after="0"/>
        <w:ind w:hanging="445" w:left="615"/>
        <w:rPr/>
      </w:pPr>
      <w:bookmarkStart w:id="25" w:name="_Toc241673392"/>
      <w:bookmarkStart w:id="26" w:name="Seguridad_y_Ergonomía"/>
      <w:bookmarkStart w:id="27" w:name="_bookmark6"/>
      <w:bookmarkEnd w:id="26"/>
      <w:bookmarkEnd w:id="27"/>
      <w:r>
        <w:rPr>
          <w:w w:val="105"/>
        </w:rPr>
        <w:t>Seguridad</w:t>
      </w:r>
      <w:r>
        <w:rPr>
          <w:spacing w:val="23"/>
          <w:w w:val="105"/>
        </w:rPr>
        <w:t xml:space="preserve"> y Privacidad</w:t>
      </w:r>
      <w:bookmarkEnd w:id="25"/>
    </w:p>
    <w:p>
      <w:pPr>
        <w:pStyle w:val="BodyText"/>
        <w:spacing w:lineRule="auto" w:line="264" w:before="90" w:after="0"/>
        <w:ind w:left="170" w:right="120"/>
        <w:jc w:val="both"/>
        <w:rPr/>
      </w:pPr>
      <w:r>
        <w:rPr>
          <w:i w:val="false"/>
          <w:iCs w:val="false"/>
          <w:sz w:val="20"/>
          <w:szCs w:val="20"/>
        </w:rPr>
        <w:t xml:space="preserve">La solución no introduce un riesgo de ciberseguridad nuevo: corre dentro del entorno analítico que Ford ya opera (GCP BigQuery y Python), no expone endpoints externos, no envía datos a servicios de terceros y no usa modelos generativos ni texto libre para calcular el riesgo. La analizamos contra los marcos de referencia habituales: la </w:t>
      </w:r>
      <w:r>
        <w:rPr>
          <w:b/>
          <w:bCs/>
          <w:i w:val="false"/>
          <w:iCs w:val="false"/>
          <w:sz w:val="20"/>
          <w:szCs w:val="20"/>
        </w:rPr>
        <w:t>Ley 25.326 de Protección de Datos Personales</w:t>
      </w:r>
      <w:r>
        <w:rPr>
          <w:i w:val="false"/>
          <w:iCs w:val="false"/>
          <w:sz w:val="20"/>
          <w:szCs w:val="20"/>
        </w:rPr>
        <w:t xml:space="preserve"> y su autoridad de aplicación (AAIP), </w:t>
      </w:r>
      <w:r>
        <w:rPr>
          <w:b/>
          <w:bCs/>
          <w:i w:val="false"/>
          <w:iCs w:val="false"/>
          <w:sz w:val="20"/>
          <w:szCs w:val="20"/>
        </w:rPr>
        <w:t>ISO/IEC 27001</w:t>
      </w:r>
      <w:r>
        <w:rPr>
          <w:i w:val="false"/>
          <w:iCs w:val="false"/>
          <w:sz w:val="20"/>
          <w:szCs w:val="20"/>
        </w:rPr>
        <w:t xml:space="preserve"> (gestión de seguridad de la información), el </w:t>
      </w:r>
      <w:r>
        <w:rPr>
          <w:b/>
          <w:bCs/>
          <w:i w:val="false"/>
          <w:iCs w:val="false"/>
          <w:sz w:val="20"/>
          <w:szCs w:val="20"/>
        </w:rPr>
        <w:t>NIST Cybersecurity Framework 2.0</w:t>
      </w:r>
      <w:r>
        <w:rPr>
          <w:i w:val="false"/>
          <w:iCs w:val="false"/>
          <w:sz w:val="20"/>
          <w:szCs w:val="20"/>
        </w:rPr>
        <w:t xml:space="preserve">, el </w:t>
      </w:r>
      <w:r>
        <w:rPr>
          <w:b/>
          <w:bCs/>
          <w:i w:val="false"/>
          <w:iCs w:val="false"/>
          <w:sz w:val="20"/>
          <w:szCs w:val="20"/>
        </w:rPr>
        <w:t>NIST AI Risk Management Framework</w:t>
      </w:r>
      <w:r>
        <w:rPr>
          <w:i w:val="false"/>
          <w:iCs w:val="false"/>
          <w:sz w:val="20"/>
          <w:szCs w:val="20"/>
        </w:rPr>
        <w:t xml:space="preserve"> (riesgos propios de los sistemas de IA) y las listas de riesgos de OWASP para machine learning.</w:t>
      </w:r>
    </w:p>
    <w:tbl>
      <w:tblPr>
        <w:tblW w:w="8598" w:type="dxa"/>
        <w:jc w:val="left"/>
        <w:tblInd w:w="170" w:type="dxa"/>
        <w:tblLayout w:type="fixed"/>
        <w:tblCellMar>
          <w:top w:w="0" w:type="dxa"/>
          <w:left w:w="60" w:type="dxa"/>
          <w:bottom w:w="0" w:type="dxa"/>
          <w:right w:w="60" w:type="dxa"/>
        </w:tblCellMar>
        <w:tblLook w:val="04a0" w:noHBand="0" w:noVBand="1" w:firstColumn="1" w:lastRow="0" w:lastColumn="0" w:firstRow="1"/>
      </w:tblPr>
      <w:tblGrid>
        <w:gridCol w:w="2840"/>
        <w:gridCol w:w="2880"/>
        <w:gridCol w:w="2878"/>
      </w:tblGrid>
      <w:tr>
        <w:trPr>
          <w:tblHeader w:val="true"/>
          <w:cantSplit w:val="true"/>
        </w:trPr>
        <w:tc>
          <w:tcPr>
            <w:tcW w:w="2840"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Riesgo</w:t>
            </w:r>
          </w:p>
        </w:tc>
        <w:tc>
          <w:tcPr>
            <w:tcW w:w="2880"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Evaluación</w:t>
            </w:r>
          </w:p>
        </w:tc>
        <w:tc>
          <w:tcPr>
            <w:tcW w:w="2878"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Mitigación</w:t>
            </w:r>
          </w:p>
        </w:tc>
      </w:tr>
      <w:tr>
        <w:trPr>
          <w:cantSplit w:val="true"/>
        </w:trPr>
        <w:tc>
          <w:tcPr>
            <w:tcW w:w="284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Reidentificación de personas a partir de los IDs</w:t>
            </w:r>
          </w:p>
        </w:tc>
        <w:tc>
          <w:tcPr>
            <w:tcW w:w="288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Bajo. Los datos llegan seudonimizados con hash salado cuyo salt no se comparte; no hay VIN, documento, nombre, contacto, patente ni dealer real.</w:t>
            </w:r>
          </w:p>
        </w:tc>
        <w:tc>
          <w:tcPr>
            <w:tcW w:w="2878"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El pipeline nunca intenta desanonimizar; el output usa los mismos IDs seudonimizados y la resolución a un contacto real ocurre sólo dentro del CRM de Ford, con control de acceso.</w:t>
            </w:r>
          </w:p>
        </w:tc>
      </w:tr>
      <w:tr>
        <w:trPr>
          <w:cantSplit w:val="true"/>
        </w:trPr>
        <w:tc>
          <w:tcPr>
            <w:tcW w:w="284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Fuga o difusión de los extractos</w:t>
            </w:r>
          </w:p>
        </w:tc>
        <w:tc>
          <w:tcPr>
            <w:tcW w:w="288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Medio si se copian fuera del entorno.</w:t>
            </w:r>
          </w:p>
        </w:tc>
        <w:tc>
          <w:tcPr>
            <w:tcW w:w="2878"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Los crudos son de sólo lectura y no se replican; los derivados con IDs quedan fuera del repositorio de código (.gitignore) y del PDF; la integridad de los crudos se verifica por hash; el .zip de entrega contiene sólo IDs seudonimizados y se comparte por los canales autorizados.</w:t>
            </w:r>
          </w:p>
        </w:tc>
      </w:tr>
      <w:tr>
        <w:trPr>
          <w:cantSplit w:val="true"/>
        </w:trPr>
        <w:tc>
          <w:tcPr>
            <w:tcW w:w="284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Uso indebido de los scores (contactos no consentidos, discriminación)</w:t>
            </w:r>
          </w:p>
        </w:tc>
        <w:tc>
          <w:tcPr>
            <w:tcW w:w="288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Medio.</w:t>
            </w:r>
          </w:p>
        </w:tc>
        <w:tc>
          <w:tcPr>
            <w:tcW w:w="2878"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El score prioriza, no decide: antes de contactar, el CRM valida consentimiento (Ley 25.326, art. 5), turnos vigentes e identidad; no se usan atributos protegidos; las acciones son comerciales y opcionales para el cliente; acceso por roles y registro de uso en BigQuery / Service Leads.</w:t>
            </w:r>
          </w:p>
        </w:tc>
      </w:tr>
      <w:tr>
        <w:trPr>
          <w:cantSplit w:val="true"/>
        </w:trPr>
        <w:tc>
          <w:tcPr>
            <w:tcW w:w="284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Fuga temporal (features con información futura)</w:t>
            </w:r>
          </w:p>
        </w:tc>
        <w:tc>
          <w:tcPr>
            <w:tcW w:w="288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Alto si no se controla; es el riesgo técnico principal del desafío.</w:t>
            </w:r>
          </w:p>
        </w:tc>
        <w:tc>
          <w:tcPr>
            <w:tcW w:w="2878"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Features estrictamente anteriores al scoring; columnas snapshot (KM, conectividad) excluidas; ablaciones que demuestran el efecto; validación temporal con embargo y margen de censura.</w:t>
            </w:r>
          </w:p>
        </w:tc>
      </w:tr>
      <w:tr>
        <w:trPr>
          <w:cantSplit w:val="true"/>
        </w:trPr>
        <w:tc>
          <w:tcPr>
            <w:tcW w:w="284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Deriva y degradación del modelo</w:t>
            </w:r>
          </w:p>
        </w:tc>
        <w:tc>
          <w:tcPr>
            <w:tcW w:w="288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Medio: la composición del parque cambia mes a mes.</w:t>
            </w:r>
          </w:p>
        </w:tc>
        <w:tc>
          <w:tcPr>
            <w:tcW w:w="2878"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Re-entrenamiento trimestral, monitoreo de churn por generación y de las features, umbral de rentabilidad revisable, regla de respaldo (priorización actual) si el score se degrada.</w:t>
            </w:r>
          </w:p>
        </w:tc>
      </w:tr>
      <w:tr>
        <w:trPr>
          <w:cantSplit w:val="true"/>
        </w:trPr>
        <w:tc>
          <w:tcPr>
            <w:tcW w:w="284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Cadena de suministro de software</w:t>
            </w:r>
          </w:p>
        </w:tc>
        <w:tc>
          <w:tcPr>
            <w:tcW w:w="288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Bajo.</w:t>
            </w:r>
          </w:p>
        </w:tc>
        <w:tc>
          <w:tcPr>
            <w:tcW w:w="2878"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Dependencias abiertas y conocidas (pandas, scikit-learn, LightGBM, SHAP) con versiones fijadas; código revisable; sin componentes que salgan a internet en ejecución.</w:t>
            </w:r>
          </w:p>
        </w:tc>
      </w:tr>
      <w:tr>
        <w:trPr>
          <w:cantSplit w:val="true"/>
        </w:trPr>
        <w:tc>
          <w:tcPr>
            <w:tcW w:w="284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Manipulación de datos de entrada (poisoning)</w:t>
            </w:r>
          </w:p>
        </w:tc>
        <w:tc>
          <w:tcPr>
            <w:tcW w:w="288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Bajo: los datos provienen de sistemas transaccionales internos.</w:t>
            </w:r>
          </w:p>
        </w:tc>
        <w:tc>
          <w:tcPr>
            <w:tcW w:w="2878"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Controles de calidad al cargar (duplicados exactos, odómetros absurdos, estados contradictorios) y comparación de hashes de origen.</w:t>
            </w:r>
          </w:p>
        </w:tc>
      </w:tr>
    </w:tbl>
    <w:p>
      <w:pPr>
        <w:pStyle w:val="BodyText"/>
        <w:spacing w:lineRule="auto" w:line="264" w:before="20" w:after="0"/>
        <w:ind w:left="170" w:right="120"/>
        <w:jc w:val="both"/>
        <w:rPr/>
      </w:pPr>
      <w:r>
        <w:rPr/>
      </w:r>
    </w:p>
    <w:p>
      <w:pPr>
        <w:pStyle w:val="BodyText"/>
        <w:spacing w:lineRule="auto" w:line="264" w:before="90" w:after="0"/>
        <w:ind w:left="170" w:right="120"/>
        <w:jc w:val="both"/>
        <w:rPr/>
      </w:pPr>
      <w:r>
        <w:rPr>
          <w:i w:val="false"/>
          <w:iCs w:val="false"/>
          <w:sz w:val="20"/>
          <w:szCs w:val="20"/>
        </w:rPr>
        <w:t>Ningún dato del challenge se envió a servicios externos durante el desarrollo. Las herramientas de IA se usaron sobre código y documentación, y todos los resultados provienen de ejecutar código sobre los datos recibidos dentro del entorno autorizado.</w:t>
      </w:r>
    </w:p>
    <w:p>
      <w:pPr>
        <w:pStyle w:val="Normal"/>
        <w:rPr/>
      </w:pPr>
      <w:r>
        <w:rPr/>
      </w:r>
      <w:r>
        <w:br w:type="page"/>
      </w:r>
    </w:p>
    <w:p>
      <w:pPr>
        <w:pStyle w:val="Heading1"/>
        <w:numPr>
          <w:ilvl w:val="0"/>
          <w:numId w:val="1"/>
        </w:numPr>
        <w:tabs>
          <w:tab w:val="clear" w:pos="720"/>
          <w:tab w:val="left" w:pos="378" w:leader="none"/>
          <w:tab w:val="left" w:pos="8901" w:leader="none"/>
        </w:tabs>
        <w:spacing w:before="0" w:after="0"/>
        <w:ind w:hanging="208" w:left="378"/>
        <w:rPr>
          <w:u w:val="none"/>
        </w:rPr>
      </w:pPr>
      <w:bookmarkStart w:id="28" w:name="Factibilidad_Económica"/>
      <w:bookmarkStart w:id="29" w:name="_bookmark7"/>
      <w:bookmarkEnd w:id="28"/>
      <w:bookmarkEnd w:id="29"/>
      <w:r>
        <w:rPr>
          <w:spacing w:val="61"/>
          <w:w w:val="105"/>
        </w:rPr>
        <w:t xml:space="preserve"> </w:t>
      </w:r>
      <w:bookmarkStart w:id="30" w:name="_Toc241673393"/>
      <w:r>
        <w:rPr>
          <w:w w:val="105"/>
        </w:rPr>
        <w:t>Factibilidad</w:t>
      </w:r>
      <w:r>
        <w:rPr>
          <w:spacing w:val="20"/>
          <w:w w:val="105"/>
        </w:rPr>
        <w:t xml:space="preserve"> </w:t>
      </w:r>
      <w:r>
        <w:rPr>
          <w:spacing w:val="-2"/>
          <w:w w:val="105"/>
        </w:rPr>
        <w:t>Económica</w:t>
      </w:r>
      <w:bookmarkEnd w:id="30"/>
      <w:r>
        <w:rPr/>
        <w:tab/>
      </w:r>
    </w:p>
    <w:p>
      <w:pPr>
        <w:pStyle w:val="BodyText"/>
        <w:spacing w:lineRule="auto" w:line="264" w:before="90" w:after="0"/>
        <w:ind w:left="170" w:right="120"/>
        <w:jc w:val="both"/>
        <w:rPr/>
      </w:pPr>
      <w:r>
        <w:rPr>
          <w:b/>
          <w:bCs/>
          <w:i w:val="false"/>
          <w:iCs w:val="false"/>
          <w:sz w:val="20"/>
          <w:szCs w:val="20"/>
        </w:rPr>
        <w:t>No hace falta comprar software.</w:t>
      </w:r>
      <w:r>
        <w:rPr>
          <w:i w:val="false"/>
          <w:iCs w:val="false"/>
          <w:sz w:val="20"/>
          <w:szCs w:val="20"/>
        </w:rPr>
        <w:t xml:space="preserve"> La solución usa BigQuery, que Ford ya usa como fuente analítica, Python con librerías de código abierto (pandas, scikit-learn, LightGBM, SHAP, Streamlit) y los canales de contacto que ya existen (Service Leads, Service Reminder, FordPass). El cómputo mensual es marginal: la población en ventana es de unos 30.000 vehículos y el pipeline corre en minutos en una máquina virtual chica.</w:t>
      </w:r>
    </w:p>
    <w:tbl>
      <w:tblPr>
        <w:tblW w:w="8599" w:type="dxa"/>
        <w:jc w:val="left"/>
        <w:tblInd w:w="170" w:type="dxa"/>
        <w:tblLayout w:type="fixed"/>
        <w:tblCellMar>
          <w:top w:w="0" w:type="dxa"/>
          <w:left w:w="60" w:type="dxa"/>
          <w:bottom w:w="0" w:type="dxa"/>
          <w:right w:w="60" w:type="dxa"/>
        </w:tblCellMar>
        <w:tblLook w:val="04a0" w:noHBand="0" w:noVBand="1" w:firstColumn="1" w:lastRow="0" w:lastColumn="0" w:firstRow="1"/>
      </w:tblPr>
      <w:tblGrid>
        <w:gridCol w:w="3033"/>
        <w:gridCol w:w="2531"/>
        <w:gridCol w:w="3035"/>
      </w:tblGrid>
      <w:tr>
        <w:trPr>
          <w:tblHeader w:val="true"/>
          <w:cantSplit w:val="true"/>
        </w:trPr>
        <w:tc>
          <w:tcPr>
            <w:tcW w:w="3033"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Concepto</w:t>
            </w:r>
          </w:p>
        </w:tc>
        <w:tc>
          <w:tcPr>
            <w:tcW w:w="2531"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Estimación (USD, supuestos)</w:t>
            </w:r>
          </w:p>
        </w:tc>
        <w:tc>
          <w:tcPr>
            <w:tcW w:w="3035"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Naturaleza</w:t>
            </w:r>
          </w:p>
        </w:tc>
      </w:tr>
      <w:tr>
        <w:trPr>
          <w:cantSplit w:val="true"/>
        </w:trPr>
        <w:tc>
          <w:tcPr>
            <w:tcW w:w="3033"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Integración del score a Service Leads / Reminder y a la vista de CRM (esquema del output, tabla en BigQuery, vista por usuario)</w:t>
            </w:r>
          </w:p>
        </w:tc>
        <w:tc>
          <w:tcPr>
            <w:tcW w:w="2531"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15.000 a 25.000</w:t>
            </w:r>
          </w:p>
        </w:tc>
        <w:tc>
          <w:tcPr>
            <w:tcW w:w="303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Una vez; 2 a 3 sprints de un ingeniero de datos con un analista de Posventa</w:t>
            </w:r>
          </w:p>
        </w:tc>
      </w:tr>
      <w:tr>
        <w:trPr>
          <w:cantSplit w:val="true"/>
        </w:trPr>
        <w:tc>
          <w:tcPr>
            <w:tcW w:w="3033"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Cómputo y almacenamiento (BigQuery scheduled queries, VM para el lote mensual)</w:t>
            </w:r>
          </w:p>
        </w:tc>
        <w:tc>
          <w:tcPr>
            <w:tcW w:w="2531"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500 a 1.500 por año</w:t>
            </w:r>
          </w:p>
        </w:tc>
        <w:tc>
          <w:tcPr>
            <w:tcW w:w="303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Recurrente</w:t>
            </w:r>
          </w:p>
        </w:tc>
      </w:tr>
      <w:tr>
        <w:trPr>
          <w:cantSplit w:val="true"/>
        </w:trPr>
        <w:tc>
          <w:tcPr>
            <w:tcW w:w="3033"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Mantenimiento: re-entrenamiento trimestral, monitoreo, ajuste de reglas</w:t>
            </w:r>
          </w:p>
        </w:tc>
        <w:tc>
          <w:tcPr>
            <w:tcW w:w="2531"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12.000 a 18.000 por año (≈ 0,2 de un científico de datos)</w:t>
            </w:r>
          </w:p>
        </w:tc>
        <w:tc>
          <w:tcPr>
            <w:tcW w:w="303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Recurrente</w:t>
            </w:r>
          </w:p>
        </w:tc>
      </w:tr>
      <w:tr>
        <w:trPr>
          <w:cantSplit w:val="true"/>
        </w:trPr>
        <w:tc>
          <w:tcPr>
            <w:tcW w:w="3033"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Piloto de 90 días (contactos adicionales, ~3.000 por mes a USD 3)</w:t>
            </w:r>
          </w:p>
        </w:tc>
        <w:tc>
          <w:tcPr>
            <w:tcW w:w="2531"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 xml:space="preserve">≈ </w:t>
            </w:r>
            <w:r>
              <w:rPr>
                <w:sz w:val="17"/>
                <w:szCs w:val="17"/>
              </w:rPr>
              <w:t>27.000</w:t>
            </w:r>
          </w:p>
        </w:tc>
        <w:tc>
          <w:tcPr>
            <w:tcW w:w="303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Una vez, y es el costo que el modelo prioriza</w:t>
            </w:r>
          </w:p>
        </w:tc>
      </w:tr>
    </w:tbl>
    <w:p>
      <w:pPr>
        <w:pStyle w:val="BodyText"/>
        <w:spacing w:lineRule="auto" w:line="264" w:before="20" w:after="0"/>
        <w:ind w:left="170" w:right="120"/>
        <w:jc w:val="both"/>
        <w:rPr/>
      </w:pPr>
      <w:r>
        <w:rPr/>
      </w:r>
    </w:p>
    <w:p>
      <w:pPr>
        <w:pStyle w:val="BodyText"/>
        <w:spacing w:lineRule="auto" w:line="264" w:before="90" w:after="0"/>
        <w:ind w:left="170" w:right="120"/>
        <w:jc w:val="both"/>
        <w:rPr/>
      </w:pPr>
      <w:r>
        <w:rPr>
          <w:b/>
          <w:bCs/>
          <w:i w:val="false"/>
          <w:iCs w:val="false"/>
          <w:sz w:val="20"/>
          <w:szCs w:val="20"/>
        </w:rPr>
        <w:t>El primer año cuesta entre USD 30.000 y 45.000, más el piloto.</w:t>
      </w:r>
    </w:p>
    <w:p>
      <w:pPr>
        <w:pStyle w:val="BodyText"/>
        <w:spacing w:lineRule="auto" w:line="264" w:before="90" w:after="0"/>
        <w:ind w:left="170" w:right="120"/>
        <w:jc w:val="both"/>
        <w:rPr/>
      </w:pPr>
      <w:r>
        <w:rPr>
          <w:b/>
          <w:bCs/>
          <w:i w:val="false"/>
          <w:iCs w:val="false"/>
          <w:sz w:val="20"/>
          <w:szCs w:val="20"/>
        </w:rPr>
        <w:t>El beneficio se calcula con supuestos conservadores y editables.</w:t>
      </w:r>
      <w:r>
        <w:rPr>
          <w:i w:val="false"/>
          <w:iCs w:val="false"/>
          <w:sz w:val="20"/>
          <w:szCs w:val="20"/>
        </w:rPr>
        <w:t xml:space="preserve"> Suponemos que un contacto recupera al 15 % de los clientes que se iban, que un service retenido vale USD 250 y que un contacto cuesta USD 3; Ford puede reemplazarlos por sus propios números (Anexo H). Con esos supuestos, priorizar con el modelo al 20 % de mayor riesgo recupera un 82 % más de services que el mismo esfuerzo repartido al azar.</w:t>
      </w:r>
    </w:p>
    <w:p>
      <w:pPr>
        <w:pStyle w:val="BodyText"/>
        <w:spacing w:lineRule="auto" w:line="264" w:before="90" w:after="0"/>
        <w:ind w:left="170" w:right="120"/>
        <w:jc w:val="both"/>
        <w:rPr/>
      </w:pPr>
      <w:r>
        <w:rPr>
          <w:b/>
          <w:bCs/>
          <w:i w:val="false"/>
          <w:iCs w:val="false"/>
          <w:sz w:val="20"/>
          <w:szCs w:val="20"/>
        </w:rPr>
        <w:t>Eso vale unos USD 200.000 por año.</w:t>
      </w:r>
      <w:r>
        <w:rPr>
          <w:i w:val="false"/>
          <w:iCs w:val="false"/>
          <w:sz w:val="20"/>
          <w:szCs w:val="20"/>
        </w:rPr>
        <w:t xml:space="preserve"> En los tres meses de test, la diferencia fue de unos USD 52.000 de margen; anualizada, del orden de USD 200.000, sin contar el efecto sobre la recompra. Contra el costo del primer año, la inversión se recupera en el primer trimestre de operación.</w:t>
      </w:r>
    </w:p>
    <w:p>
      <w:pPr>
        <w:pStyle w:val="BodyText"/>
        <w:spacing w:lineRule="auto" w:line="264" w:before="90" w:after="0"/>
        <w:ind w:left="170" w:right="120"/>
        <w:jc w:val="both"/>
        <w:rPr/>
      </w:pPr>
      <w:r>
        <w:rPr>
          <w:b/>
          <w:bCs/>
          <w:i w:val="false"/>
          <w:iCs w:val="false"/>
          <w:sz w:val="20"/>
          <w:szCs w:val="20"/>
        </w:rPr>
        <w:t>Sigue siendo rentable con supuestos pesimistas.</w:t>
      </w:r>
      <w:r>
        <w:rPr>
          <w:i w:val="false"/>
          <w:iCs w:val="false"/>
          <w:sz w:val="20"/>
          <w:szCs w:val="20"/>
        </w:rPr>
        <w:t xml:space="preserve"> Con un contacto que recupere sólo el 5 % y un service que valga USD 100, el modelo todavía gana. El umbral de rentabilidad de un contacto personal es p ≥ 0,08, así que casi toda la población justifica al menos un recordatorio digital, y sólo el grupo Alto justifica un contacto del asesor.</w:t>
      </w:r>
    </w:p>
    <w:p>
      <w:pPr>
        <w:pStyle w:val="BodyText"/>
        <w:spacing w:lineRule="auto" w:line="264" w:before="90" w:after="0"/>
        <w:ind w:left="170" w:right="120"/>
        <w:jc w:val="both"/>
        <w:rPr/>
      </w:pPr>
      <w:r>
        <w:rPr>
          <w:b/>
          <w:bCs/>
          <w:i w:val="false"/>
          <w:iCs w:val="false"/>
          <w:sz w:val="20"/>
          <w:szCs w:val="20"/>
        </w:rPr>
        <w:t>Equivocarse para un lado cuesta mucho más que para el otro.</w:t>
      </w:r>
      <w:r>
        <w:rPr>
          <w:i w:val="false"/>
          <w:iCs w:val="false"/>
          <w:sz w:val="20"/>
          <w:szCs w:val="20"/>
        </w:rPr>
        <w:t xml:space="preserve"> Contactar a quien iba a volver cuesta un contacto y, si se ofrece un incentivo, subsidia un retorno que iba a ocurrir igual; por eso el incentivo se prueba sólo si su aporte supera su costo. No contactar a quien se va cuesta el service y, con el tiempo, el cliente. Con estos supuestos, la asimetría es cercana a 80 a 1: conviene contactar a todo el grupo Alto y no ahorrar contactos en la cola.</w:t>
      </w:r>
    </w:p>
    <w:p>
      <w:pPr>
        <w:pStyle w:val="BodyText"/>
        <w:spacing w:lineRule="auto" w:line="264" w:before="90" w:after="0"/>
        <w:ind w:left="170" w:right="120"/>
        <w:jc w:val="both"/>
        <w:rPr/>
      </w:pPr>
      <w:r>
        <w:rPr>
          <w:b/>
          <w:bCs/>
          <w:i w:val="false"/>
          <w:iCs w:val="false"/>
          <w:sz w:val="20"/>
          <w:szCs w:val="20"/>
        </w:rPr>
        <w:t>Cómo se mide.</w:t>
      </w:r>
      <w:r>
        <w:rPr>
          <w:i w:val="false"/>
          <w:iCs w:val="false"/>
          <w:sz w:val="20"/>
          <w:szCs w:val="20"/>
        </w:rPr>
        <w:t xml:space="preserve"> Proponemos un piloto de 90 días. Dentro de cada decil de riesgo, la mitad de los clientes recibe la acción de su grupo y la otra mitad sigue con el proceso actual; la asignación es aleatoria por cliente (todos sus vehículos en el mismo grupo) y estratificada por concesionario. Se mide el mantenimiento completado a 30 y a 120 días, por decil, acción, concesionario y mes. Con 6.000 a 7.000 ventanas por mes, una mejora de 5 puntos se detecta en dos meses.</w:t>
      </w:r>
    </w:p>
    <w:p>
      <w:pPr>
        <w:pStyle w:val="Normal"/>
        <w:rPr/>
      </w:pPr>
      <w:r>
        <w:rPr/>
      </w:r>
      <w:r>
        <w:br w:type="page"/>
      </w:r>
    </w:p>
    <w:p>
      <w:pPr>
        <w:pStyle w:val="Heading1"/>
        <w:numPr>
          <w:ilvl w:val="0"/>
          <w:numId w:val="1"/>
        </w:numPr>
        <w:tabs>
          <w:tab w:val="clear" w:pos="720"/>
          <w:tab w:val="left" w:pos="378" w:leader="none"/>
          <w:tab w:val="left" w:pos="8901" w:leader="none"/>
        </w:tabs>
        <w:spacing w:before="0" w:after="0"/>
        <w:ind w:hanging="208" w:left="378"/>
        <w:rPr>
          <w:u w:val="none"/>
        </w:rPr>
      </w:pPr>
      <w:bookmarkStart w:id="31" w:name="Valor_Diferencial_e_Innovación"/>
      <w:bookmarkStart w:id="32" w:name="_bookmark8"/>
      <w:bookmarkEnd w:id="31"/>
      <w:bookmarkEnd w:id="32"/>
      <w:r>
        <w:rPr>
          <w:spacing w:val="44"/>
          <w:w w:val="105"/>
        </w:rPr>
        <w:t xml:space="preserve"> </w:t>
      </w:r>
      <w:bookmarkStart w:id="33" w:name="_Toc241673394"/>
      <w:r>
        <w:rPr>
          <w:w w:val="105"/>
        </w:rPr>
        <w:t>Valor</w:t>
      </w:r>
      <w:r>
        <w:rPr>
          <w:spacing w:val="9"/>
          <w:w w:val="105"/>
        </w:rPr>
        <w:t xml:space="preserve"> </w:t>
      </w:r>
      <w:r>
        <w:rPr>
          <w:w w:val="105"/>
        </w:rPr>
        <w:t>Diferencial</w:t>
      </w:r>
      <w:r>
        <w:rPr>
          <w:spacing w:val="8"/>
          <w:w w:val="105"/>
        </w:rPr>
        <w:t xml:space="preserve"> </w:t>
      </w:r>
      <w:r>
        <w:rPr>
          <w:w w:val="105"/>
        </w:rPr>
        <w:t>e</w:t>
      </w:r>
      <w:r>
        <w:rPr>
          <w:spacing w:val="9"/>
          <w:w w:val="105"/>
        </w:rPr>
        <w:t xml:space="preserve"> </w:t>
      </w:r>
      <w:r>
        <w:rPr>
          <w:spacing w:val="-2"/>
          <w:w w:val="105"/>
        </w:rPr>
        <w:t>Innovación</w:t>
      </w:r>
      <w:bookmarkEnd w:id="33"/>
      <w:r>
        <w:rPr/>
        <w:tab/>
      </w:r>
    </w:p>
    <w:p>
      <w:pPr>
        <w:pStyle w:val="BodyText"/>
        <w:spacing w:lineRule="auto" w:line="264" w:before="90" w:after="0"/>
        <w:ind w:left="170" w:right="120"/>
        <w:jc w:val="both"/>
        <w:rPr/>
      </w:pPr>
      <w:r>
        <w:rPr>
          <w:i w:val="false"/>
          <w:iCs w:val="false"/>
          <w:sz w:val="20"/>
          <w:szCs w:val="20"/>
        </w:rPr>
        <w:t>La innovación de esta propuesta no está en el algoritmo, que es el estándar de la industria, sino en cómo se definió el problema y en la evidencia que la sostiene. Se resume en cuatro palabras:</w:t>
      </w:r>
    </w:p>
    <w:p>
      <w:pPr>
        <w:pStyle w:val="ListParagraph"/>
        <w:numPr>
          <w:ilvl w:val="0"/>
          <w:numId w:val="2"/>
        </w:numPr>
        <w:spacing w:lineRule="auto" w:line="259" w:before="50" w:after="0"/>
        <w:ind w:hanging="220" w:left="560" w:right="120"/>
        <w:jc w:val="both"/>
        <w:rPr/>
      </w:pPr>
      <w:r>
        <w:rPr>
          <w:b/>
          <w:bCs/>
          <w:sz w:val="20"/>
          <w:szCs w:val="20"/>
        </w:rPr>
        <w:t>Precisa.</w:t>
      </w:r>
      <w:r>
        <w:rPr>
          <w:sz w:val="20"/>
          <w:szCs w:val="20"/>
        </w:rPr>
        <w:t xml:space="preserve"> Cada Ranger tiene su propio calendario, según su generación y sus kilómetros reales, en lugar de una fecha fija. La ventana se validó contra el plan oficial de Ford, contra 36 combinaciones de parámetros y contra una solución independiente, que mostró que el horizonte es la decisión que más pesa.</w:t>
      </w:r>
    </w:p>
    <w:p>
      <w:pPr>
        <w:pStyle w:val="ListParagraph"/>
        <w:numPr>
          <w:ilvl w:val="0"/>
          <w:numId w:val="2"/>
        </w:numPr>
        <w:spacing w:lineRule="auto" w:line="259" w:before="50" w:after="0"/>
        <w:ind w:hanging="220" w:left="560" w:right="120"/>
        <w:jc w:val="both"/>
        <w:rPr/>
      </w:pPr>
      <w:r>
        <w:rPr>
          <w:b/>
          <w:bCs/>
          <w:sz w:val="20"/>
          <w:szCs w:val="20"/>
        </w:rPr>
        <w:t>Honesta.</w:t>
      </w:r>
      <w:r>
        <w:rPr>
          <w:sz w:val="20"/>
          <w:szCs w:val="20"/>
        </w:rPr>
        <w:t xml:space="preserve"> Detectamos y demostramos dos fugas de información (KM y conectividad) que inflaban el resultado aparente: 0,813 de ROC-AUC contra 0,740. Las excluimos y lo mostramos como evidencia de rigor, no como resultado.</w:t>
      </w:r>
    </w:p>
    <w:p>
      <w:pPr>
        <w:pStyle w:val="ListParagraph"/>
        <w:numPr>
          <w:ilvl w:val="0"/>
          <w:numId w:val="2"/>
        </w:numPr>
        <w:spacing w:lineRule="auto" w:line="259" w:before="50" w:after="0"/>
        <w:ind w:hanging="220" w:left="560" w:right="120"/>
        <w:jc w:val="both"/>
        <w:rPr/>
      </w:pPr>
      <w:r>
        <w:rPr>
          <w:b/>
          <w:bCs/>
          <w:sz w:val="20"/>
          <w:szCs w:val="20"/>
        </w:rPr>
        <w:t>Clara.</w:t>
      </w:r>
      <w:r>
        <w:rPr>
          <w:sz w:val="20"/>
          <w:szCs w:val="20"/>
        </w:rPr>
        <w:t xml:space="preserve"> Las probabilidades están calibradas y cada vehículo llega con sus motivos en castellano, para que el asesor entienda por qué ese cliente está primero. Las reglas operativas (turno ya agendado, días de margen, un contacto por cliente) son explícitas.</w:t>
      </w:r>
    </w:p>
    <w:p>
      <w:pPr>
        <w:pStyle w:val="ListParagraph"/>
        <w:numPr>
          <w:ilvl w:val="0"/>
          <w:numId w:val="2"/>
        </w:numPr>
        <w:spacing w:lineRule="auto" w:line="259" w:before="50" w:after="0"/>
        <w:ind w:hanging="220" w:left="560" w:right="120"/>
        <w:jc w:val="both"/>
        <w:rPr/>
      </w:pPr>
      <w:r>
        <w:rPr>
          <w:b/>
          <w:bCs/>
          <w:sz w:val="20"/>
          <w:szCs w:val="20"/>
        </w:rPr>
        <w:t>Verificada.</w:t>
      </w:r>
      <w:r>
        <w:rPr>
          <w:sz w:val="20"/>
          <w:szCs w:val="20"/>
        </w:rPr>
        <w:t xml:space="preserve"> Cada análisis fue recalculado por un revisor independiente con código propio; lo que no resistió se corrigió y quedó registrado. El contraste con la solución independiente se hizo con el mismo estándar.</w:t>
      </w:r>
    </w:p>
    <w:p>
      <w:pPr>
        <w:pStyle w:val="BodyText"/>
        <w:spacing w:lineRule="auto" w:line="264" w:before="90" w:after="0"/>
        <w:ind w:left="170" w:right="120"/>
        <w:jc w:val="both"/>
        <w:rPr/>
      </w:pPr>
      <w:r>
        <w:rPr>
          <w:i w:val="false"/>
          <w:iCs w:val="false"/>
          <w:sz w:val="20"/>
          <w:szCs w:val="20"/>
        </w:rPr>
        <w:t>Además, el trabajo deja dos aportes para Ford. Primero, hallazgos de negocio que contradicen la intuición y están respaldados por datos: el plan es por kilómetros y no anual, el primer service concentra el churn, los no-shows sólo pesan junto con la cantidad de turnos, el concesionario es un motivo estable y accionable, y Ford ya tiene un incentivo por continuidad que vale la pena comunicar. Segundo, la recompra se puede medir dentro del mismo dataset, lo que abre un segundo modelo directo sobre el objetivo de largo plazo del desafío.</w:t>
      </w:r>
    </w:p>
    <w:p>
      <w:pPr>
        <w:pStyle w:val="Normal"/>
        <w:rPr/>
      </w:pPr>
      <w:r>
        <w:rPr/>
      </w:r>
      <w:r>
        <w:br w:type="page"/>
      </w:r>
    </w:p>
    <w:p>
      <w:pPr>
        <w:pStyle w:val="Heading1"/>
        <w:numPr>
          <w:ilvl w:val="0"/>
          <w:numId w:val="1"/>
        </w:numPr>
        <w:tabs>
          <w:tab w:val="clear" w:pos="720"/>
          <w:tab w:val="left" w:pos="378" w:leader="none"/>
          <w:tab w:val="left" w:pos="8901" w:leader="none"/>
        </w:tabs>
        <w:spacing w:before="0" w:after="0"/>
        <w:ind w:hanging="208" w:left="378"/>
        <w:rPr>
          <w:u w:val="none"/>
        </w:rPr>
      </w:pPr>
      <w:bookmarkStart w:id="34" w:name="Trabajo_Futuro"/>
      <w:bookmarkStart w:id="35" w:name="_bookmark9"/>
      <w:bookmarkEnd w:id="34"/>
      <w:bookmarkEnd w:id="35"/>
      <w:r>
        <w:rPr>
          <w:spacing w:val="52"/>
          <w:w w:val="110"/>
        </w:rPr>
        <w:t xml:space="preserve"> </w:t>
      </w:r>
      <w:bookmarkStart w:id="36" w:name="_Toc241673395"/>
      <w:r>
        <w:rPr>
          <w:spacing w:val="-2"/>
          <w:w w:val="110"/>
        </w:rPr>
        <w:t>Trabajo</w:t>
      </w:r>
      <w:r>
        <w:rPr>
          <w:spacing w:val="13"/>
          <w:w w:val="110"/>
        </w:rPr>
        <w:t xml:space="preserve"> </w:t>
      </w:r>
      <w:r>
        <w:rPr>
          <w:spacing w:val="-2"/>
          <w:w w:val="110"/>
        </w:rPr>
        <w:t>Futuro</w:t>
      </w:r>
      <w:bookmarkEnd w:id="36"/>
      <w:r>
        <w:rPr/>
        <w:tab/>
      </w:r>
    </w:p>
    <w:p>
      <w:pPr>
        <w:pStyle w:val="BodyText"/>
        <w:spacing w:lineRule="auto" w:line="264" w:before="90" w:after="0"/>
        <w:ind w:left="170" w:right="120"/>
        <w:jc w:val="both"/>
        <w:rPr/>
      </w:pPr>
      <w:r>
        <w:rPr>
          <w:b/>
          <w:bCs/>
          <w:i w:val="false"/>
          <w:iCs w:val="false"/>
          <w:sz w:val="20"/>
          <w:szCs w:val="20"/>
        </w:rPr>
        <w:t>Ahora, antes de escalar.</w:t>
      </w:r>
      <w:r>
        <w:rPr>
          <w:i w:val="false"/>
          <w:iCs w:val="false"/>
          <w:sz w:val="20"/>
          <w:szCs w:val="20"/>
        </w:rPr>
        <w:t xml:space="preserve"> Validar con Posventa las dos reglas que fijan el horizonte: con cuánta anticipación conviene contactar (−30 o −60 días) y cuántos días después del vencimiento Ford considera perdida la oportunidad (+60, +90 o +120). Correr el piloto aleatorizado de 90 días e integrar el score a Service Leads y Service Reminder.</w:t>
      </w:r>
    </w:p>
    <w:p>
      <w:pPr>
        <w:pStyle w:val="BodyText"/>
        <w:spacing w:lineRule="auto" w:line="264" w:before="90" w:after="0"/>
        <w:ind w:left="170" w:right="120"/>
        <w:jc w:val="both"/>
        <w:rPr/>
      </w:pPr>
      <w:r>
        <w:rPr>
          <w:b/>
          <w:bCs/>
          <w:i w:val="false"/>
          <w:iCs w:val="false"/>
          <w:sz w:val="20"/>
          <w:szCs w:val="20"/>
        </w:rPr>
        <w:t>En los próximos meses.</w:t>
      </w:r>
      <w:r>
        <w:rPr>
          <w:i w:val="false"/>
          <w:iCs w:val="false"/>
          <w:sz w:val="20"/>
          <w:szCs w:val="20"/>
        </w:rPr>
        <w:t xml:space="preserve"> Sumar al pipeline las exclusiones de identidad y el cupo por usuario, tests automáticos de seguridad temporal, hashes de integridad de los datos de origen e intervalos de confianza por bootstrap en la evaluación. Hacer una validación prospectiva: congelar el modelo entrenado hasta marzo de 2026, evaluarlo sobre las ventanas de abril a julio de 2026 sin tocar las definiciones y pedir un extracto nuevo para una segunda validación ciega. Incorporar el kilometraje de telemetría de los vehículos conectados para individualizar la ventana del primer service, que hoy es imprecisa (±140 días) y es la que concentra más churn.</w:t>
      </w:r>
    </w:p>
    <w:p>
      <w:pPr>
        <w:pStyle w:val="BodyText"/>
        <w:spacing w:lineRule="auto" w:line="264" w:before="90" w:after="0"/>
        <w:ind w:left="170" w:right="120"/>
        <w:jc w:val="both"/>
        <w:rPr/>
      </w:pPr>
      <w:r>
        <w:rPr>
          <w:b/>
          <w:bCs/>
          <w:i w:val="false"/>
          <w:iCs w:val="false"/>
          <w:sz w:val="20"/>
          <w:szCs w:val="20"/>
        </w:rPr>
        <w:t>Después.</w:t>
      </w:r>
      <w:r>
        <w:rPr>
          <w:i w:val="false"/>
          <w:iCs w:val="false"/>
          <w:sz w:val="20"/>
          <w:szCs w:val="20"/>
        </w:rPr>
        <w:t xml:space="preserve"> Entrenar un segundo modelo de recompra Ranger→Ranger sobre los dueños activos, para medir el vínculo entre service y recompra. Y, con los datos del piloto, un modelo de uplift que priorice a quién conviene contactar, no sólo a quién se va.</w:t>
      </w:r>
    </w:p>
    <w:p>
      <w:pPr>
        <w:pStyle w:val="BodyText"/>
        <w:spacing w:lineRule="auto" w:line="264" w:before="90" w:after="0"/>
        <w:ind w:left="170" w:right="120"/>
        <w:jc w:val="both"/>
        <w:rPr/>
      </w:pPr>
      <w:r>
        <w:rPr>
          <w:b/>
          <w:bCs/>
          <w:i w:val="false"/>
          <w:iCs w:val="false"/>
          <w:sz w:val="20"/>
          <w:szCs w:val="20"/>
        </w:rPr>
        <w:t>Replicabilidad.</w:t>
      </w:r>
      <w:r>
        <w:rPr>
          <w:i w:val="false"/>
          <w:iCs w:val="false"/>
          <w:sz w:val="20"/>
          <w:szCs w:val="20"/>
        </w:rPr>
        <w:t xml:space="preserve"> La solución depende sólo de dos tablas que Ford tiene para toda su gama y toda la región (ventas y agenda), de un plan de mantenimiento por modelo y de una tasa de uso por vehículo. Extenderla a otros modelos es cambiar el intervalo del plan en la configuración; extenderla a otro país, apuntar a las mismas tablas de BigQuery. Las preguntas que Ford puede responder para afinarla están en el Anexo I.</w:t>
      </w:r>
    </w:p>
    <w:p>
      <w:pPr>
        <w:pStyle w:val="Normal"/>
        <w:rPr/>
      </w:pPr>
      <w:r>
        <w:rPr/>
      </w:r>
      <w:r>
        <w:br w:type="page"/>
      </w:r>
    </w:p>
    <w:p>
      <w:pPr>
        <w:pStyle w:val="Heading1"/>
        <w:numPr>
          <w:ilvl w:val="0"/>
          <w:numId w:val="1"/>
        </w:numPr>
        <w:tabs>
          <w:tab w:val="clear" w:pos="720"/>
          <w:tab w:val="left" w:pos="378" w:leader="none"/>
          <w:tab w:val="left" w:pos="8901" w:leader="none"/>
        </w:tabs>
        <w:spacing w:before="0" w:after="0"/>
        <w:ind w:hanging="208" w:left="378"/>
        <w:rPr>
          <w:u w:val="none"/>
        </w:rPr>
      </w:pPr>
      <w:bookmarkStart w:id="37" w:name="Conclusiones"/>
      <w:bookmarkStart w:id="38" w:name="_bookmark10"/>
      <w:bookmarkEnd w:id="37"/>
      <w:bookmarkEnd w:id="38"/>
      <w:r>
        <w:rPr>
          <w:spacing w:val="74"/>
        </w:rPr>
        <w:t xml:space="preserve"> </w:t>
      </w:r>
      <w:bookmarkStart w:id="39" w:name="_Toc241673396"/>
      <w:r>
        <w:rPr>
          <w:spacing w:val="-2"/>
        </w:rPr>
        <w:t>Conclusiones</w:t>
      </w:r>
      <w:bookmarkEnd w:id="39"/>
      <w:r>
        <w:rPr/>
        <w:tab/>
      </w:r>
    </w:p>
    <w:p>
      <w:pPr>
        <w:pStyle w:val="BodyText"/>
        <w:spacing w:lineRule="auto" w:line="264" w:before="90" w:after="0"/>
        <w:ind w:left="170" w:right="120"/>
        <w:jc w:val="both"/>
        <w:rPr/>
      </w:pPr>
      <w:r>
        <w:rPr>
          <w:i w:val="false"/>
          <w:iCs w:val="false"/>
          <w:sz w:val="20"/>
          <w:szCs w:val="20"/>
        </w:rPr>
        <w:t>Ford pierde cuatro de cada diez mantenimientos en ventana, y los pierde hablándole igual a todos.</w:t>
      </w:r>
    </w:p>
    <w:p>
      <w:pPr>
        <w:pStyle w:val="BodyText"/>
        <w:spacing w:lineRule="auto" w:line="264" w:before="90" w:after="0"/>
        <w:ind w:left="170" w:right="120"/>
        <w:jc w:val="both"/>
        <w:rPr/>
      </w:pPr>
      <w:r>
        <w:rPr>
          <w:i w:val="false"/>
          <w:iCs w:val="false"/>
          <w:sz w:val="20"/>
          <w:szCs w:val="20"/>
        </w:rPr>
        <w:t>Esta propuesta convierte la población elegible en una lista ordenada por riesgo, con una probabilidad calibrada, un grupo de contacto y los motivos de cada caso. Evaluada en meses que el modelo no había visto, alcanza al 36 % de los que se van con el 20 % de los contactos, y al 65 % con 3.000 contactos por mes, con probabilidades que coinciden con lo que después pasa.</w:t>
      </w:r>
    </w:p>
    <w:p>
      <w:pPr>
        <w:pStyle w:val="BodyText"/>
        <w:spacing w:lineRule="auto" w:line="264" w:before="90" w:after="0"/>
        <w:ind w:left="170" w:right="120"/>
        <w:jc w:val="both"/>
        <w:rPr/>
      </w:pPr>
      <w:r>
        <w:rPr>
          <w:i w:val="false"/>
          <w:iCs w:val="false"/>
          <w:sz w:val="20"/>
          <w:szCs w:val="20"/>
        </w:rPr>
        <w:t>Funciona con lo que Ford ya tiene y se prueba en 90 días. Los próximos pasos son validar el horizonte con Posventa, integrar el score a Service Leads y Service Reminder, y correr el piloto midiendo por decil, acción, concesionario y mes. Todo lo necesario está en el .zip adjunto y se reproduce con un comando.</w:t>
      </w:r>
    </w:p>
    <w:p>
      <w:pPr>
        <w:pStyle w:val="Normal"/>
        <w:rPr/>
      </w:pPr>
      <w:r>
        <w:rPr/>
      </w:r>
      <w:r>
        <w:br w:type="page"/>
      </w:r>
    </w:p>
    <w:p>
      <w:pPr>
        <w:pStyle w:val="Heading1"/>
        <w:spacing w:before="0" w:after="0"/>
        <w:ind w:hanging="0" w:left="170"/>
        <w:rPr/>
      </w:pPr>
      <w:bookmarkStart w:id="40" w:name="_Toc241673397"/>
      <w:r>
        <w:rPr/>
        <w:t>Anexos</w:t>
      </w:r>
      <w:bookmarkEnd w:id="40"/>
    </w:p>
    <w:p>
      <w:pPr>
        <w:pStyle w:val="BodyText"/>
        <w:spacing w:lineRule="auto" w:line="264" w:before="90" w:after="0"/>
        <w:ind w:left="170" w:right="120"/>
        <w:jc w:val="both"/>
        <w:rPr/>
      </w:pPr>
      <w:r>
        <w:rPr>
          <w:i w:val="false"/>
          <w:iCs w:val="false"/>
          <w:sz w:val="20"/>
          <w:szCs w:val="20"/>
        </w:rPr>
        <w:t>Estos anexos reúnen la evidencia que sostiene el cuerpo del informe. Cada uno se cita desde la sección correspondiente.</w:t>
      </w:r>
    </w:p>
    <w:p>
      <w:pPr>
        <w:pStyle w:val="Heading2"/>
        <w:spacing w:before="280" w:after="0"/>
        <w:ind w:hanging="0" w:left="170"/>
        <w:rPr/>
      </w:pPr>
      <w:bookmarkStart w:id="41" w:name="_Toc241673398"/>
      <w:r>
        <w:rPr/>
        <w:t>Anexo A. Datos recibidos</w:t>
      </w:r>
      <w:bookmarkEnd w:id="41"/>
    </w:p>
    <w:tbl>
      <w:tblPr>
        <w:tblW w:w="8600" w:type="dxa"/>
        <w:jc w:val="left"/>
        <w:tblInd w:w="170" w:type="dxa"/>
        <w:tblLayout w:type="fixed"/>
        <w:tblCellMar>
          <w:top w:w="0" w:type="dxa"/>
          <w:left w:w="60" w:type="dxa"/>
          <w:bottom w:w="0" w:type="dxa"/>
          <w:right w:w="60" w:type="dxa"/>
        </w:tblCellMar>
        <w:tblLook w:val="04a0" w:noHBand="0" w:noVBand="1" w:firstColumn="1" w:lastRow="0" w:lastColumn="0" w:firstRow="1"/>
      </w:tblPr>
      <w:tblGrid>
        <w:gridCol w:w="798"/>
        <w:gridCol w:w="2038"/>
        <w:gridCol w:w="2827"/>
        <w:gridCol w:w="2936"/>
      </w:tblGrid>
      <w:tr>
        <w:trPr>
          <w:tblHeader w:val="true"/>
          <w:cantSplit w:val="true"/>
        </w:trPr>
        <w:tc>
          <w:tcPr>
            <w:tcW w:w="798"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Tabla</w:t>
            </w:r>
          </w:p>
        </w:tc>
        <w:tc>
          <w:tcPr>
            <w:tcW w:w="2038"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Grano</w:t>
            </w:r>
          </w:p>
        </w:tc>
        <w:tc>
          <w:tcPr>
            <w:tcW w:w="2827"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Volumen</w:t>
            </w:r>
          </w:p>
        </w:tc>
        <w:tc>
          <w:tcPr>
            <w:tcW w:w="2936"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Cobertura</w:t>
            </w:r>
          </w:p>
        </w:tc>
      </w:tr>
      <w:tr>
        <w:trPr>
          <w:cantSplit w:val="true"/>
        </w:trPr>
        <w:tc>
          <w:tcPr>
            <w:tcW w:w="798"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Ventas Ranger</w:t>
            </w:r>
          </w:p>
        </w:tc>
        <w:tc>
          <w:tcPr>
            <w:tcW w:w="2038"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1 fila por vehículo vendido</w:t>
            </w:r>
          </w:p>
        </w:tc>
        <w:tc>
          <w:tcPr>
            <w:tcW w:w="282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59.384 vehículos 0 km, 45.959 compradores</w:t>
            </w:r>
          </w:p>
        </w:tc>
        <w:tc>
          <w:tcPr>
            <w:tcW w:w="2936"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ventas 01/2024 → 08/2026</w:t>
            </w:r>
          </w:p>
        </w:tc>
      </w:tr>
      <w:tr>
        <w:trPr>
          <w:cantSplit w:val="true"/>
        </w:trPr>
        <w:tc>
          <w:tcPr>
            <w:tcW w:w="798"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Agenda Ford</w:t>
            </w:r>
          </w:p>
        </w:tc>
        <w:tc>
          <w:tcPr>
            <w:tcW w:w="2038"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1 fila por ítem de servicio dentro de un turno</w:t>
            </w:r>
          </w:p>
        </w:tc>
        <w:tc>
          <w:tcPr>
            <w:tcW w:w="282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631.623 ítems, 492.442 turnos, 111.752 vehículos, 95 concesionarios</w:t>
            </w:r>
          </w:p>
        </w:tc>
        <w:tc>
          <w:tcPr>
            <w:tcW w:w="2936"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turnos 01/2024 → 08/2026, todo el parque Ranger (año modelo 2005-2026)</w:t>
            </w:r>
          </w:p>
        </w:tc>
      </w:tr>
    </w:tbl>
    <w:p>
      <w:pPr>
        <w:pStyle w:val="BodyText"/>
        <w:spacing w:lineRule="auto" w:line="264" w:before="20" w:after="0"/>
        <w:ind w:left="170" w:right="120"/>
        <w:jc w:val="both"/>
        <w:rPr/>
      </w:pPr>
      <w:r>
        <w:rPr/>
      </w:r>
    </w:p>
    <w:p>
      <w:pPr>
        <w:pStyle w:val="BodyText"/>
        <w:spacing w:lineRule="auto" w:line="264" w:before="90" w:after="0"/>
        <w:ind w:left="170" w:right="120"/>
        <w:jc w:val="both"/>
        <w:rPr/>
      </w:pPr>
      <w:r>
        <w:rPr>
          <w:i w:val="false"/>
          <w:iCs w:val="false"/>
          <w:sz w:val="20"/>
          <w:szCs w:val="20"/>
        </w:rPr>
        <w:t>De los 492.442 turnos, 342.691 concluyeron, 101.222 se cancelaron (en su mayoría, reprogramaciones) y 27.237 fueron no-show. 222.889 turnos son mantenimientos programados completados. Corte de datos: 25/08/2026.</w:t>
      </w:r>
    </w:p>
    <w:p>
      <w:pPr>
        <w:pStyle w:val="Heading2"/>
        <w:spacing w:before="280" w:after="0"/>
        <w:ind w:hanging="0" w:left="170"/>
        <w:rPr/>
      </w:pPr>
      <w:bookmarkStart w:id="42" w:name="_Toc241673399"/>
      <w:r>
        <w:rPr/>
        <w:t>Anexo B. Hallazgos del análisis exploratorio, con cifras</w:t>
      </w:r>
      <w:bookmarkEnd w:id="42"/>
    </w:p>
    <w:p>
      <w:pPr>
        <w:pStyle w:val="ListParagraph"/>
        <w:numPr>
          <w:ilvl w:val="0"/>
          <w:numId w:val="2"/>
        </w:numPr>
        <w:spacing w:lineRule="auto" w:line="259" w:before="50" w:after="0"/>
        <w:ind w:hanging="220" w:left="560" w:right="120"/>
        <w:jc w:val="both"/>
        <w:rPr/>
      </w:pPr>
      <w:r>
        <w:rPr>
          <w:b/>
          <w:bCs/>
          <w:sz w:val="20"/>
          <w:szCs w:val="20"/>
        </w:rPr>
        <w:t>Plan por kilómetros.</w:t>
      </w:r>
      <w:r>
        <w:rPr>
          <w:sz w:val="20"/>
          <w:szCs w:val="20"/>
        </w:rPr>
        <w:t xml:space="preserve"> El kilometraje al n-ésimo service converge a 16.000 × n en la P703 y a 10.000 × n en la P375, en línea con el plan oficial publicado por Ford Argentina (16.000 km ó 12 meses en la Ranger nueva; 10.000 km ó 1 año en la anterior). La regla "15.000 km o 1 año" que nos dio el tutor es aproximada: el nominal es 16.000 y en la práctica manda el km. La mediana entre mantenimientos consecutivos es de 165 a 200 días según cómo se mida (por evento o por vehículo), y alrededor del 10 % de los retornos tarda más de un año. La mediana de uso del parque es de 21.514 km por año.</w:t>
      </w:r>
    </w:p>
    <w:p>
      <w:pPr>
        <w:pStyle w:val="ListParagraph"/>
        <w:numPr>
          <w:ilvl w:val="0"/>
          <w:numId w:val="2"/>
        </w:numPr>
        <w:spacing w:lineRule="auto" w:line="259" w:before="50" w:after="0"/>
        <w:ind w:hanging="220" w:left="560" w:right="120"/>
        <w:jc w:val="both"/>
        <w:rPr/>
      </w:pPr>
      <w:r>
        <w:rPr>
          <w:b/>
          <w:bCs/>
          <w:sz w:val="20"/>
          <w:szCs w:val="20"/>
        </w:rPr>
        <w:t>Primer service.</w:t>
      </w:r>
      <w:r>
        <w:rPr>
          <w:sz w:val="20"/>
          <w:szCs w:val="20"/>
        </w:rPr>
        <w:t xml:space="preserve"> De los compradores de 2024, el 64,5 % hizo el primer mantenimiento en un concesionario oficial dentro de 12 meses y el 80,9 % dentro de 18; el 19 % no volvió. A 12 meses, el churn del primer service (36 %) supera al del segundo (25 %). A igual edad del vehículo, el número de services acumulados separa retornos del 40 % y del 80 %: la intensidad de la relación es un predictor de primer orden.</w:t>
      </w:r>
    </w:p>
    <w:p>
      <w:pPr>
        <w:pStyle w:val="ListParagraph"/>
        <w:numPr>
          <w:ilvl w:val="0"/>
          <w:numId w:val="2"/>
        </w:numPr>
        <w:spacing w:lineRule="auto" w:line="259" w:before="50" w:after="0"/>
        <w:ind w:hanging="220" w:left="560" w:right="120"/>
        <w:jc w:val="both"/>
        <w:rPr/>
      </w:pPr>
      <w:r>
        <w:rPr>
          <w:b/>
          <w:bCs/>
          <w:sz w:val="20"/>
          <w:szCs w:val="20"/>
        </w:rPr>
        <w:t>Edad del vehículo.</w:t>
      </w:r>
      <w:r>
        <w:rPr>
          <w:sz w:val="20"/>
          <w:szCs w:val="20"/>
        </w:rPr>
        <w:t xml:space="preserve"> La retención anual baja de 66 % en el tercer año a 53 % en el quinto y 38 % en el sexto, cuando la mediana del parque supera los 100.000 km (Figura 5).</w:t>
      </w:r>
    </w:p>
    <w:p>
      <w:pPr>
        <w:pStyle w:val="ListParagraph"/>
        <w:numPr>
          <w:ilvl w:val="0"/>
          <w:numId w:val="2"/>
        </w:numPr>
        <w:spacing w:lineRule="auto" w:line="259" w:before="50" w:after="0"/>
        <w:ind w:hanging="220" w:left="560" w:right="120"/>
        <w:jc w:val="both"/>
        <w:rPr/>
      </w:pPr>
      <w:r>
        <w:rPr>
          <w:b/>
          <w:bCs/>
          <w:sz w:val="20"/>
          <w:szCs w:val="20"/>
        </w:rPr>
        <w:t>Columnas foto.</w:t>
      </w:r>
      <w:r>
        <w:rPr>
          <w:sz w:val="20"/>
          <w:szCs w:val="20"/>
        </w:rPr>
        <w:t xml:space="preserve"> KM es idéntico en todos los turnos de un vehículo (99,99 % de los casos) e igual al último odómetro cargado. ConnectedStatusARG tampoco varía en el tiempo, y "Sin información de conectividad" marca vehículos que ya salieron del sistema. El km real de cada visita es VehicleCurrentKM.</w:t>
      </w:r>
    </w:p>
    <w:p>
      <w:pPr>
        <w:pStyle w:val="ListParagraph"/>
        <w:numPr>
          <w:ilvl w:val="0"/>
          <w:numId w:val="2"/>
        </w:numPr>
        <w:spacing w:lineRule="auto" w:line="259" w:before="50" w:after="0"/>
        <w:ind w:hanging="220" w:left="560" w:right="120"/>
        <w:jc w:val="both"/>
        <w:rPr/>
      </w:pPr>
      <w:r>
        <w:rPr>
          <w:b/>
          <w:bCs/>
          <w:sz w:val="20"/>
          <w:szCs w:val="20"/>
        </w:rPr>
        <w:t>Lo que engaña en crudo.</w:t>
      </w:r>
      <w:r>
        <w:rPr>
          <w:sz w:val="20"/>
          <w:szCs w:val="20"/>
        </w:rPr>
        <w:t xml:space="preserve"> Los no-shows previos parecen no separar nada (78,0 % / 78,9 % / 79,1 % de retorno con 0 / 1 / 2 o más), pero es una paradoja de Simpson: quien tuvo un no-show tuvo turnos, y tener turnos es el predictor más fuerte. A igual cantidad de turnos previos, un no-show baja el retorno (67 % vs 73 % con un turno; 73 % vs 77 % con dos) y en un modelo conjunto pesa con un odds ratio de 0,7; las cancelaciones duras, parecido; las reprogramaciones se re-agendan en el 72 % de los casos a los 6 días. Un vehículo con reparaciones o recalls previos vuelve más, pero porque tuvo más contactos con el concesionario, no por el problema en sí. La encuesta de estrellas es previa al turno, no posterior al service, y no aporta.</w:t>
      </w:r>
    </w:p>
    <w:p>
      <w:pPr>
        <w:pStyle w:val="ListParagraph"/>
        <w:numPr>
          <w:ilvl w:val="0"/>
          <w:numId w:val="2"/>
        </w:numPr>
        <w:spacing w:lineRule="auto" w:line="259" w:before="50" w:after="0"/>
        <w:ind w:hanging="220" w:left="560" w:right="120"/>
        <w:jc w:val="both"/>
        <w:rPr/>
      </w:pPr>
      <w:r>
        <w:rPr>
          <w:b/>
          <w:bCs/>
          <w:sz w:val="20"/>
          <w:szCs w:val="20"/>
        </w:rPr>
        <w:t>Lo que sí separa.</w:t>
      </w:r>
      <w:r>
        <w:rPr>
          <w:sz w:val="20"/>
          <w:szCs w:val="20"/>
        </w:rPr>
        <w:t xml:space="preserve"> La recencia (turno previo hace más de un año: 51 % de retorno; hace 1 a 3 meses: 86 %), FordPass (+3 a +5 puntos dentro de cada generación, que sobreviven al ajuste por concesionario e intensidad) y el concesionario (estable entre años; 73 % vs 84 % de retorno entre el peor y el mejor quintil).</w:t>
      </w:r>
    </w:p>
    <w:p>
      <w:pPr>
        <w:pStyle w:val="ListParagraph"/>
        <w:numPr>
          <w:ilvl w:val="0"/>
          <w:numId w:val="2"/>
        </w:numPr>
        <w:spacing w:lineRule="auto" w:line="259" w:before="50" w:after="0"/>
        <w:ind w:hanging="220" w:left="560" w:right="120"/>
        <w:jc w:val="both"/>
        <w:rPr/>
      </w:pPr>
      <w:r>
        <w:rPr>
          <w:b/>
          <w:bCs/>
          <w:sz w:val="20"/>
          <w:szCs w:val="20"/>
        </w:rPr>
        <w:t>Identidad del cliente.</w:t>
      </w:r>
      <w:r>
        <w:rPr>
          <w:sz w:val="20"/>
          <w:szCs w:val="20"/>
        </w:rPr>
        <w:t xml:space="preserve"> El 21 % de los vehículos tiene más de un customer_id, y la mitad de esos cambios coincide con un cambio de canal de reserva (Dealer ↔ FordPass), no con una transferencia. Que quien lleva el vehículo sea o no el comprador no cambia el retorno. Las flotas entran menos (62 % vs 80 % hacen el primer service en 15 meses) pero, una vez adentro, vuelven igual.</w:t>
      </w:r>
    </w:p>
    <w:p>
      <w:pPr>
        <w:pStyle w:val="Normal"/>
        <w:keepNext w:val="true"/>
        <w:spacing w:before="120" w:after="0"/>
        <w:ind w:left="170"/>
        <w:jc w:val="center"/>
        <w:rPr/>
      </w:pPr>
      <w:r>
        <w:rPr/>
        <w:drawing>
          <wp:inline distT="0" distB="0" distL="0" distR="0">
            <wp:extent cx="4699000" cy="1807210"/>
            <wp:effectExtent l="0" t="0" r="0" b="0"/>
            <wp:docPr id="6" name="Figura 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 5" descr=""/>
                    <pic:cNvPicPr>
                      <a:picLocks noChangeAspect="1" noChangeArrowheads="1"/>
                    </pic:cNvPicPr>
                  </pic:nvPicPr>
                  <pic:blipFill>
                    <a:blip r:embed="rId14"/>
                    <a:stretch>
                      <a:fillRect/>
                    </a:stretch>
                  </pic:blipFill>
                  <pic:spPr bwMode="auto">
                    <a:xfrm>
                      <a:off x="0" y="0"/>
                      <a:ext cx="4699000" cy="1807210"/>
                    </a:xfrm>
                    <a:prstGeom prst="rect">
                      <a:avLst/>
                    </a:prstGeom>
                  </pic:spPr>
                </pic:pic>
              </a:graphicData>
            </a:graphic>
          </wp:inline>
        </w:drawing>
      </w:r>
    </w:p>
    <w:p>
      <w:pPr>
        <w:pStyle w:val="Caption"/>
        <w:spacing w:before="40" w:after="160"/>
        <w:ind w:left="170" w:right="120"/>
        <w:jc w:val="center"/>
        <w:rPr/>
      </w:pPr>
      <w:r>
        <w:rPr>
          <w:sz w:val="16"/>
          <w:szCs w:val="16"/>
        </w:rPr>
        <w:t>Figura 5. Proporción de vehículos con al menos un mantenimiento en un concesionario oficial en cada año de vida.</w:t>
      </w:r>
    </w:p>
    <w:p>
      <w:pPr>
        <w:pStyle w:val="Heading2"/>
        <w:spacing w:before="280" w:after="0"/>
        <w:ind w:hanging="0" w:left="170"/>
        <w:rPr/>
      </w:pPr>
      <w:bookmarkStart w:id="43" w:name="_Toc241673400"/>
      <w:r>
        <w:rPr/>
        <w:t>Anexo C. Población, ventana y target</w:t>
      </w:r>
      <w:bookmarkEnd w:id="43"/>
    </w:p>
    <w:tbl>
      <w:tblPr>
        <w:tblW w:w="8598" w:type="dxa"/>
        <w:jc w:val="left"/>
        <w:tblInd w:w="170" w:type="dxa"/>
        <w:tblLayout w:type="fixed"/>
        <w:tblCellMar>
          <w:top w:w="0" w:type="dxa"/>
          <w:left w:w="60" w:type="dxa"/>
          <w:bottom w:w="0" w:type="dxa"/>
          <w:right w:w="60" w:type="dxa"/>
        </w:tblCellMar>
        <w:tblLook w:val="04a0" w:noHBand="0" w:noVBand="1" w:firstColumn="1" w:lastRow="0" w:lastColumn="0" w:firstRow="1"/>
      </w:tblPr>
      <w:tblGrid>
        <w:gridCol w:w="1306"/>
        <w:gridCol w:w="3647"/>
        <w:gridCol w:w="3645"/>
      </w:tblGrid>
      <w:tr>
        <w:trPr>
          <w:tblHeader w:val="true"/>
          <w:cantSplit w:val="true"/>
        </w:trPr>
        <w:tc>
          <w:tcPr>
            <w:tcW w:w="1306"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Elemento</w:t>
            </w:r>
          </w:p>
        </w:tc>
        <w:tc>
          <w:tcPr>
            <w:tcW w:w="3647"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Definición</w:t>
            </w:r>
          </w:p>
        </w:tc>
        <w:tc>
          <w:tcPr>
            <w:tcW w:w="3645"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Justificación</w:t>
            </w:r>
          </w:p>
        </w:tc>
      </w:tr>
      <w:tr>
        <w:trPr>
          <w:cantSplit w:val="true"/>
        </w:trPr>
        <w:tc>
          <w:tcPr>
            <w:tcW w:w="1306"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Unidad</w:t>
            </w:r>
          </w:p>
        </w:tc>
        <w:tc>
          <w:tcPr>
            <w:tcW w:w="364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usuario – vehículo – ventana</w:t>
            </w:r>
          </w:p>
        </w:tc>
        <w:tc>
          <w:tcPr>
            <w:tcW w:w="364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Lo pide la ficha; el riesgo es del vehículo, la acción es sobre el usuario</w:t>
            </w:r>
          </w:p>
        </w:tc>
      </w:tr>
      <w:tr>
        <w:trPr>
          <w:cantSplit w:val="true"/>
        </w:trPr>
        <w:tc>
          <w:tcPr>
            <w:tcW w:w="1306"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Ancla</w:t>
            </w:r>
          </w:p>
        </w:tc>
        <w:tc>
          <w:tcPr>
            <w:tcW w:w="364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último mantenimiento programado completado; inicio de garantía para el primer service</w:t>
            </w:r>
          </w:p>
        </w:tc>
        <w:tc>
          <w:tcPr>
            <w:tcW w:w="364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Reproduce cómo "le toca" a cada vehículo</w:t>
            </w:r>
          </w:p>
        </w:tc>
      </w:tr>
      <w:tr>
        <w:trPr>
          <w:cantSplit w:val="true"/>
        </w:trPr>
        <w:tc>
          <w:tcPr>
            <w:tcW w:w="1306"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Tasa de uso</w:t>
            </w:r>
          </w:p>
        </w:tc>
        <w:tc>
          <w:tcPr>
            <w:tcW w:w="364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km al ancla / edad del vehículo al ancla (mediana de la generación si no hay km)</w:t>
            </w:r>
          </w:p>
        </w:tc>
        <w:tc>
          <w:tcPr>
            <w:tcW w:w="364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Disponible en el 96 % de las anclas; concuerda con la pendiente entre visitas (Spearman 0,90)</w:t>
            </w:r>
          </w:p>
        </w:tc>
      </w:tr>
      <w:tr>
        <w:trPr>
          <w:cantSplit w:val="true"/>
        </w:trPr>
        <w:tc>
          <w:tcPr>
            <w:tcW w:w="1306"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Vencimiento</w:t>
            </w:r>
          </w:p>
        </w:tc>
        <w:tc>
          <w:tcPr>
            <w:tcW w:w="364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ancla + min(365 días, K / tasa de uso), K = 16.000 km (P703) / 10.000 km (P375); primer service: garantía + 300 días</w:t>
            </w:r>
          </w:p>
        </w:tc>
        <w:tc>
          <w:tcPr>
            <w:tcW w:w="364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Centra el retraso real del retorno cerca del vencimiento (mediana de un dígito de días)</w:t>
            </w:r>
          </w:p>
        </w:tc>
      </w:tr>
      <w:tr>
        <w:trPr>
          <w:cantSplit w:val="true"/>
        </w:trPr>
        <w:tc>
          <w:tcPr>
            <w:tcW w:w="1306"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Apertura y scoring</w:t>
            </w:r>
          </w:p>
        </w:tc>
        <w:tc>
          <w:tcPr>
            <w:tcW w:w="364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vencimiento − 30 días</w:t>
            </w:r>
          </w:p>
        </w:tc>
        <w:tc>
          <w:tcPr>
            <w:tcW w:w="364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80 % de las ventanas abiertas; horizonte corto</w:t>
            </w:r>
          </w:p>
        </w:tc>
      </w:tr>
      <w:tr>
        <w:trPr>
          <w:cantSplit w:val="true"/>
        </w:trPr>
        <w:tc>
          <w:tcPr>
            <w:tcW w:w="1306"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Horizonte</w:t>
            </w:r>
          </w:p>
        </w:tc>
        <w:tc>
          <w:tcPr>
            <w:tcW w:w="364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vencimiento + 90 días</w:t>
            </w:r>
          </w:p>
        </w:tc>
        <w:tc>
          <w:tcPr>
            <w:tcW w:w="364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Captura el 84 % de los retornos de quienes vuelven en 18 meses</w:t>
            </w:r>
          </w:p>
        </w:tc>
      </w:tr>
      <w:tr>
        <w:trPr>
          <w:cantSplit w:val="true"/>
        </w:trPr>
        <w:tc>
          <w:tcPr>
            <w:tcW w:w="1306"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Target</w:t>
            </w:r>
          </w:p>
        </w:tc>
        <w:tc>
          <w:tcPr>
            <w:tcW w:w="364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churn = 1 si no hay mantenimiento completado en la red oficial entre la apertura y el cierre del horizonte</w:t>
            </w:r>
          </w:p>
        </w:tc>
        <w:tc>
          <w:tcPr>
            <w:tcW w:w="364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Definición de la ficha</w:t>
            </w:r>
          </w:p>
        </w:tc>
      </w:tr>
      <w:tr>
        <w:trPr>
          <w:cantSplit w:val="true"/>
        </w:trPr>
        <w:tc>
          <w:tcPr>
            <w:tcW w:w="1306"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Censura</w:t>
            </w:r>
          </w:p>
        </w:tc>
        <w:tc>
          <w:tcPr>
            <w:tcW w:w="364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ventanas cuyo horizonte no cerró 30 días antes del corte: no se etiquetan; son la población a scorear hoy</w:t>
            </w:r>
          </w:p>
        </w:tc>
        <w:tc>
          <w:tcPr>
            <w:tcW w:w="364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Definición de la ficha</w:t>
            </w:r>
          </w:p>
        </w:tc>
      </w:tr>
      <w:tr>
        <w:trPr>
          <w:cantSplit w:val="true"/>
        </w:trPr>
        <w:tc>
          <w:tcPr>
            <w:tcW w:w="1306"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Población resultante</w:t>
            </w:r>
          </w:p>
        </w:tc>
        <w:tc>
          <w:tcPr>
            <w:tcW w:w="364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142.637 ventanas evaluables (2024-2026), churn 41,6 %; 35.190 ventanas abiertas al corte</w:t>
            </w:r>
          </w:p>
        </w:tc>
        <w:tc>
          <w:tcPr>
            <w:tcW w:w="364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Quedan fuera 17.973 vehículos entregados antes de 2024 sin ningún mantenimiento en 2024-26: no tienen ancla observable</w:t>
            </w:r>
          </w:p>
        </w:tc>
      </w:tr>
    </w:tbl>
    <w:p>
      <w:pPr>
        <w:pStyle w:val="BodyText"/>
        <w:spacing w:lineRule="auto" w:line="264" w:before="20" w:after="0"/>
        <w:ind w:left="170" w:right="120"/>
        <w:jc w:val="both"/>
        <w:rPr/>
      </w:pPr>
      <w:r>
        <w:rPr/>
      </w:r>
    </w:p>
    <w:p>
      <w:pPr>
        <w:pStyle w:val="BodyText"/>
        <w:spacing w:lineRule="auto" w:line="264" w:before="90" w:after="0"/>
        <w:ind w:left="170" w:right="120"/>
        <w:jc w:val="both"/>
        <w:rPr/>
      </w:pPr>
      <w:r>
        <w:rPr>
          <w:b/>
          <w:bCs/>
          <w:i w:val="false"/>
          <w:iCs w:val="false"/>
          <w:sz w:val="20"/>
          <w:szCs w:val="20"/>
        </w:rPr>
        <w:t>Alternativas descartadas, con números</w:t>
      </w:r>
      <w:r>
        <w:rPr>
          <w:i w:val="false"/>
          <w:iCs w:val="false"/>
          <w:sz w:val="20"/>
          <w:szCs w:val="20"/>
        </w:rPr>
        <w:t xml:space="preserve"> (36 combinaciones de parámetros probadas):</w:t>
      </w:r>
    </w:p>
    <w:p>
      <w:pPr>
        <w:pStyle w:val="ListParagraph"/>
        <w:numPr>
          <w:ilvl w:val="0"/>
          <w:numId w:val="2"/>
        </w:numPr>
        <w:spacing w:lineRule="auto" w:line="259" w:before="50" w:after="0"/>
        <w:ind w:hanging="220" w:left="560" w:right="120"/>
        <w:jc w:val="both"/>
        <w:rPr/>
      </w:pPr>
      <w:r>
        <w:rPr>
          <w:sz w:val="20"/>
          <w:szCs w:val="20"/>
        </w:rPr>
        <w:t>Regla de "un año": 66.589 ventanas, 58 % de churn, y sólo el 18 % de los retornos caen dentro de la ventana; el 86 % de los clientes ya vino antes de que abra.</w:t>
      </w:r>
    </w:p>
    <w:p>
      <w:pPr>
        <w:pStyle w:val="ListParagraph"/>
        <w:numPr>
          <w:ilvl w:val="0"/>
          <w:numId w:val="2"/>
        </w:numPr>
        <w:spacing w:lineRule="auto" w:line="259" w:before="50" w:after="0"/>
        <w:ind w:hanging="220" w:left="560" w:right="120"/>
        <w:jc w:val="both"/>
        <w:rPr/>
      </w:pPr>
      <w:r>
        <w:rPr>
          <w:sz w:val="20"/>
          <w:szCs w:val="20"/>
        </w:rPr>
        <w:t>Aniversarios del plan (12·n meses): 76 % de churn y 17 % de captura.</w:t>
      </w:r>
    </w:p>
    <w:p>
      <w:pPr>
        <w:pStyle w:val="ListParagraph"/>
        <w:numPr>
          <w:ilvl w:val="0"/>
          <w:numId w:val="2"/>
        </w:numPr>
        <w:spacing w:lineRule="auto" w:line="259" w:before="50" w:after="0"/>
        <w:ind w:hanging="220" w:left="560" w:right="120"/>
        <w:jc w:val="both"/>
        <w:rPr/>
      </w:pPr>
      <w:r>
        <w:rPr>
          <w:sz w:val="20"/>
          <w:szCs w:val="20"/>
        </w:rPr>
        <w:t>Un único K para todo el parque: con 16.000 km la P375 vence un mes tarde (más de la mitad ya volvió al abrir); con 10.000 km la P703 vence antes de tiempo.</w:t>
      </w:r>
    </w:p>
    <w:p>
      <w:pPr>
        <w:pStyle w:val="ListParagraph"/>
        <w:numPr>
          <w:ilvl w:val="0"/>
          <w:numId w:val="2"/>
        </w:numPr>
        <w:spacing w:lineRule="auto" w:line="259" w:before="50" w:after="0"/>
        <w:ind w:hanging="220" w:left="560" w:right="120"/>
        <w:jc w:val="both"/>
        <w:rPr/>
      </w:pPr>
      <w:r>
        <w:rPr>
          <w:sz w:val="20"/>
          <w:szCs w:val="20"/>
        </w:rPr>
        <w:t>Apertura a −60 días: captura más retornos (64 % vs 53 %) a costa de una ventana de 150 días. Queda como alternativa si los concesionarios contactan con más anticipación.</w:t>
      </w:r>
    </w:p>
    <w:p>
      <w:pPr>
        <w:pStyle w:val="ListParagraph"/>
        <w:numPr>
          <w:ilvl w:val="0"/>
          <w:numId w:val="2"/>
        </w:numPr>
        <w:spacing w:lineRule="auto" w:line="259" w:before="50" w:after="0"/>
        <w:ind w:hanging="220" w:left="560" w:right="120"/>
        <w:jc w:val="both"/>
        <w:rPr/>
      </w:pPr>
      <w:r>
        <w:rPr>
          <w:sz w:val="20"/>
          <w:szCs w:val="20"/>
        </w:rPr>
        <w:t>Horizonte de +60 días: etiqueta como churn a muchos que vuelven tarde (47 % de churn). Horizonte de +180 días: el resultado llega siete meses después, tarde para medir.</w:t>
      </w:r>
    </w:p>
    <w:p>
      <w:pPr>
        <w:pStyle w:val="BodyText"/>
        <w:spacing w:lineRule="auto" w:line="264" w:before="90" w:after="0"/>
        <w:ind w:left="170" w:right="120"/>
        <w:jc w:val="both"/>
        <w:rPr/>
      </w:pPr>
      <w:r>
        <w:rPr>
          <w:b/>
          <w:bCs/>
          <w:i w:val="false"/>
          <w:iCs w:val="false"/>
          <w:sz w:val="20"/>
          <w:szCs w:val="20"/>
        </w:rPr>
        <w:t>Contraste con una solución independiente.</w:t>
      </w:r>
      <w:r>
        <w:rPr>
          <w:i w:val="false"/>
          <w:iCs w:val="false"/>
          <w:sz w:val="20"/>
          <w:szCs w:val="20"/>
        </w:rPr>
        <w:t xml:space="preserve"> Un segundo equipo de análisis resolvió el mismo desafío sin ver este trabajo y llegó a la misma población y al mismo evento, pero con un horizonte de un mes calendario, lo que da 78 % de churn. Aplicando cada etiqueta sobre las ventanas del otro se demostró que la diferencia es sólo el horizonte (79,0 % vs 44,0 %) y que entre el 40 % y el 44 % de los "churn" mensuales completan el mantenimiento antes de vencimiento + 90 días. Adoptamos el horizonte de 90 días como resultado primario, la cadencia mensual de scoring como operación, y dejamos al negocio la validación final de ambos parámetros.</w:t>
      </w:r>
    </w:p>
    <w:p>
      <w:pPr>
        <w:pStyle w:val="Heading2"/>
        <w:spacing w:before="280" w:after="0"/>
        <w:ind w:hanging="0" w:left="170"/>
        <w:rPr/>
      </w:pPr>
      <w:bookmarkStart w:id="44" w:name="_Toc241673401"/>
      <w:r>
        <w:rPr/>
        <w:t>Anexo D. Features y validación temporal</w:t>
      </w:r>
      <w:bookmarkEnd w:id="44"/>
    </w:p>
    <w:p>
      <w:pPr>
        <w:pStyle w:val="BodyText"/>
        <w:spacing w:lineRule="auto" w:line="264" w:before="90" w:after="0"/>
        <w:ind w:left="170" w:right="120"/>
        <w:jc w:val="both"/>
        <w:rPr/>
      </w:pPr>
      <w:r>
        <w:rPr>
          <w:b/>
          <w:bCs/>
          <w:i w:val="false"/>
          <w:iCs w:val="false"/>
          <w:sz w:val="20"/>
          <w:szCs w:val="20"/>
        </w:rPr>
        <w:t>Uniones temporales.</w:t>
      </w:r>
      <w:r>
        <w:rPr>
          <w:i w:val="false"/>
          <w:iCs w:val="false"/>
          <w:sz w:val="20"/>
          <w:szCs w:val="20"/>
        </w:rPr>
        <w:t xml:space="preserve"> Las features se calculan con acumulados por vehículo y merge_asof hacia atrás sin coincidencia exacta: para una ventana con fecha de scoring t sólo entran turnos anteriores a t y encuestas respondidas antes de t.</w:t>
      </w:r>
    </w:p>
    <w:p>
      <w:pPr>
        <w:pStyle w:val="BodyText"/>
        <w:spacing w:lineRule="auto" w:line="264" w:before="90" w:after="0"/>
        <w:ind w:left="170" w:right="120"/>
        <w:jc w:val="both"/>
        <w:rPr/>
      </w:pPr>
      <w:r>
        <w:rPr>
          <w:b/>
          <w:bCs/>
          <w:i w:val="false"/>
          <w:iCs w:val="false"/>
          <w:sz w:val="20"/>
          <w:szCs w:val="20"/>
        </w:rPr>
        <w:t>Las 86 features, en nueve grupos:</w:t>
      </w:r>
      <w:r>
        <w:rPr>
          <w:i w:val="false"/>
          <w:iCs w:val="false"/>
          <w:sz w:val="20"/>
          <w:szCs w:val="20"/>
        </w:rPr>
        <w:t xml:space="preserve"> recencia (días desde el último mantenimiento, turno y visita); frecuencia e intensidad (mantenimientos por año observado, visitas, diagnósticos, reparaciones, recalls); patrón de uso (km/año, atraso en km respecto del plan, services salteados); ciclo de vida (antigüedad, n° de service, generación, versión); canal (último canal, proporción FordPass); concesionario (concesionario y zona del último mantenimiento, cambios de dealer); relación (tamaño de flota, vehículos del cliente, cambios de cliente); venta (unidad de negocio, tipo de persona, canal, provincia); y geometría de la ventana (qué regla vence primero, días al vencimiento).</w:t>
      </w:r>
    </w:p>
    <w:p>
      <w:pPr>
        <w:pStyle w:val="BodyText"/>
        <w:spacing w:lineRule="auto" w:line="264" w:before="90" w:after="0"/>
        <w:ind w:left="170" w:right="120"/>
        <w:jc w:val="both"/>
        <w:rPr/>
      </w:pPr>
      <w:r>
        <w:rPr>
          <w:b/>
          <w:bCs/>
          <w:i w:val="false"/>
          <w:iCs w:val="false"/>
          <w:sz w:val="20"/>
          <w:szCs w:val="20"/>
        </w:rPr>
        <w:t>Historia invisible.</w:t>
      </w:r>
      <w:r>
        <w:rPr>
          <w:i w:val="false"/>
          <w:iCs w:val="false"/>
          <w:sz w:val="20"/>
          <w:szCs w:val="20"/>
        </w:rPr>
        <w:t xml:space="preserve"> El 60 % del parque tiene garantía anterior al inicio de la agenda, así que su historia previa a 2024 no se ve. Se mitiga con la antigüedad, el n° de service y "meses de historia observable" como features.</w:t>
      </w:r>
    </w:p>
    <w:p>
      <w:pPr>
        <w:pStyle w:val="BodyText"/>
        <w:spacing w:lineRule="auto" w:line="264" w:before="90" w:after="0"/>
        <w:ind w:left="170" w:right="120"/>
        <w:jc w:val="both"/>
        <w:rPr/>
      </w:pPr>
      <w:r>
        <w:rPr>
          <w:b/>
          <w:bCs/>
          <w:i w:val="false"/>
          <w:iCs w:val="false"/>
          <w:sz w:val="20"/>
          <w:szCs w:val="20"/>
        </w:rPr>
        <w:t>Partición temporal.</w:t>
      </w:r>
      <w:r>
        <w:rPr>
          <w:i w:val="false"/>
          <w:iCs w:val="false"/>
          <w:sz w:val="20"/>
          <w:szCs w:val="20"/>
        </w:rPr>
        <w:t xml:space="preserve"> Entrenamiento: ventanas abiertas hasta el 30/09/2025 (102.040). Calibración isotónica: octubre a diciembre de 2025 (20.888). Test: ventanas abiertas entre enero y marzo de 2026 cuyo horizonte cerró al menos 30 días antes del corte (19.709, churn 42,6 %).</w:t>
      </w:r>
    </w:p>
    <w:p>
      <w:pPr>
        <w:pStyle w:val="BodyText"/>
        <w:spacing w:lineRule="auto" w:line="264" w:before="90" w:after="0"/>
        <w:ind w:left="170" w:right="120"/>
        <w:jc w:val="both"/>
        <w:rPr/>
      </w:pPr>
      <w:r>
        <w:rPr>
          <w:b/>
          <w:bCs/>
          <w:i w:val="false"/>
          <w:iCs w:val="false"/>
          <w:sz w:val="20"/>
          <w:szCs w:val="20"/>
        </w:rPr>
        <w:t>Por qué no validación cruzada aleatoria.</w:t>
      </w:r>
      <w:r>
        <w:rPr>
          <w:i w:val="false"/>
          <w:iCs w:val="false"/>
          <w:sz w:val="20"/>
          <w:szCs w:val="20"/>
        </w:rPr>
        <w:t xml:space="preserve"> Mezclaría ventanas del mismo vehículo y ocultaría el cambio de composición del parque: la P375 cae de 5.856 a 2.009 mantenimientos mensuales mientras la P703 sube de 437 a 5.625.</w:t>
      </w:r>
    </w:p>
    <w:p>
      <w:pPr>
        <w:pStyle w:val="BodyText"/>
        <w:spacing w:lineRule="auto" w:line="264" w:before="90" w:after="0"/>
        <w:ind w:left="170" w:right="120"/>
        <w:jc w:val="both"/>
        <w:rPr/>
      </w:pPr>
      <w:r>
        <w:rPr>
          <w:b/>
          <w:bCs/>
          <w:i w:val="false"/>
          <w:iCs w:val="false"/>
          <w:sz w:val="20"/>
          <w:szCs w:val="20"/>
        </w:rPr>
        <w:t>Baselines.</w:t>
      </w:r>
      <w:r>
        <w:rPr>
          <w:i w:val="false"/>
          <w:iCs w:val="false"/>
          <w:sz w:val="20"/>
          <w:szCs w:val="20"/>
        </w:rPr>
        <w:t xml:space="preserve"> Azar (equivalente a la prioridad uniforme actual), una heurística de reglas (antigüedad + no-shows) y una regresión logística con 24 features. El modelo principal es LightGBM (gradient boosting) con categóricas nativas, early stopping y calibración isotónica.</w:t>
      </w:r>
    </w:p>
    <w:p>
      <w:pPr>
        <w:pStyle w:val="Heading2"/>
        <w:spacing w:before="280" w:after="0"/>
        <w:ind w:hanging="0" w:left="170"/>
        <w:rPr/>
      </w:pPr>
      <w:bookmarkStart w:id="45" w:name="_Toc241673402"/>
      <w:r>
        <w:rPr/>
        <w:t>Anexo E. Resultados completos</w:t>
      </w:r>
      <w:bookmarkEnd w:id="45"/>
    </w:p>
    <w:p>
      <w:pPr>
        <w:pStyle w:val="BodyText"/>
        <w:spacing w:lineRule="auto" w:line="264" w:before="90" w:after="0"/>
        <w:ind w:left="170" w:right="120"/>
        <w:jc w:val="both"/>
        <w:rPr/>
      </w:pPr>
      <w:r>
        <w:rPr>
          <w:b/>
          <w:bCs/>
          <w:i w:val="false"/>
          <w:iCs w:val="false"/>
          <w:sz w:val="20"/>
          <w:szCs w:val="20"/>
        </w:rPr>
        <w:t>Métricas fuera de tiempo</w:t>
      </w:r>
      <w:r>
        <w:rPr>
          <w:i w:val="false"/>
          <w:iCs w:val="false"/>
          <w:sz w:val="20"/>
          <w:szCs w:val="20"/>
        </w:rPr>
        <w:t xml:space="preserve"> (test: 19.709 ventanas, churn 42,6 %):</w:t>
      </w:r>
    </w:p>
    <w:tbl>
      <w:tblPr>
        <w:tblW w:w="8596" w:type="dxa"/>
        <w:jc w:val="left"/>
        <w:tblInd w:w="170" w:type="dxa"/>
        <w:tblLayout w:type="fixed"/>
        <w:tblCellMar>
          <w:top w:w="0" w:type="dxa"/>
          <w:left w:w="60" w:type="dxa"/>
          <w:bottom w:w="0" w:type="dxa"/>
          <w:right w:w="60" w:type="dxa"/>
        </w:tblCellMar>
        <w:tblLook w:val="04a0" w:noHBand="0" w:noVBand="1" w:firstColumn="1" w:lastRow="0" w:lastColumn="0" w:firstRow="1"/>
      </w:tblPr>
      <w:tblGrid>
        <w:gridCol w:w="4137"/>
        <w:gridCol w:w="1214"/>
        <w:gridCol w:w="1137"/>
        <w:gridCol w:w="1054"/>
        <w:gridCol w:w="1054"/>
      </w:tblGrid>
      <w:tr>
        <w:trPr>
          <w:tblHeader w:val="true"/>
          <w:cantSplit w:val="true"/>
        </w:trPr>
        <w:tc>
          <w:tcPr>
            <w:tcW w:w="4137"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Modelo</w:t>
            </w:r>
          </w:p>
        </w:tc>
        <w:tc>
          <w:tcPr>
            <w:tcW w:w="1214"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ROC-AUC</w:t>
            </w:r>
          </w:p>
        </w:tc>
        <w:tc>
          <w:tcPr>
            <w:tcW w:w="1137"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PR-AUC</w:t>
            </w:r>
          </w:p>
        </w:tc>
        <w:tc>
          <w:tcPr>
            <w:tcW w:w="1054"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Brier</w:t>
            </w:r>
          </w:p>
        </w:tc>
        <w:tc>
          <w:tcPr>
            <w:tcW w:w="1054"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ECE</w:t>
            </w:r>
          </w:p>
        </w:tc>
      </w:tr>
      <w:tr>
        <w:trPr>
          <w:cantSplit w:val="true"/>
        </w:trPr>
        <w:tc>
          <w:tcPr>
            <w:tcW w:w="413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Azar (prioridad uniforme, situación actual)</w:t>
            </w:r>
          </w:p>
        </w:tc>
        <w:tc>
          <w:tcPr>
            <w:tcW w:w="1214"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0,497</w:t>
            </w:r>
          </w:p>
        </w:tc>
        <w:tc>
          <w:tcPr>
            <w:tcW w:w="113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0,422</w:t>
            </w:r>
          </w:p>
        </w:tc>
        <w:tc>
          <w:tcPr>
            <w:tcW w:w="1054"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0,335</w:t>
            </w:r>
          </w:p>
        </w:tc>
        <w:tc>
          <w:tcPr>
            <w:tcW w:w="1054"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0,255</w:t>
            </w:r>
          </w:p>
        </w:tc>
      </w:tr>
      <w:tr>
        <w:trPr>
          <w:cantSplit w:val="true"/>
        </w:trPr>
        <w:tc>
          <w:tcPr>
            <w:tcW w:w="413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Heurística de reglas</w:t>
            </w:r>
          </w:p>
        </w:tc>
        <w:tc>
          <w:tcPr>
            <w:tcW w:w="1214"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0,609</w:t>
            </w:r>
          </w:p>
        </w:tc>
        <w:tc>
          <w:tcPr>
            <w:tcW w:w="113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0,518</w:t>
            </w:r>
          </w:p>
        </w:tc>
        <w:tc>
          <w:tcPr>
            <w:tcW w:w="1054"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w:t>
            </w:r>
          </w:p>
        </w:tc>
        <w:tc>
          <w:tcPr>
            <w:tcW w:w="1054"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w:t>
            </w:r>
          </w:p>
        </w:tc>
      </w:tr>
      <w:tr>
        <w:trPr>
          <w:cantSplit w:val="true"/>
        </w:trPr>
        <w:tc>
          <w:tcPr>
            <w:tcW w:w="413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Regresión logística (calibrada)</w:t>
            </w:r>
          </w:p>
        </w:tc>
        <w:tc>
          <w:tcPr>
            <w:tcW w:w="1214"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0,674</w:t>
            </w:r>
          </w:p>
        </w:tc>
        <w:tc>
          <w:tcPr>
            <w:tcW w:w="113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0,596</w:t>
            </w:r>
          </w:p>
        </w:tc>
        <w:tc>
          <w:tcPr>
            <w:tcW w:w="1054"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0,222</w:t>
            </w:r>
          </w:p>
        </w:tc>
        <w:tc>
          <w:tcPr>
            <w:tcW w:w="1054"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0,018</w:t>
            </w:r>
          </w:p>
        </w:tc>
      </w:tr>
      <w:tr>
        <w:trPr>
          <w:cantSplit w:val="true"/>
        </w:trPr>
        <w:tc>
          <w:tcPr>
            <w:tcW w:w="413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b/>
                <w:bCs/>
                <w:sz w:val="17"/>
                <w:szCs w:val="17"/>
              </w:rPr>
              <w:t>LightGBM calibrado</w:t>
            </w:r>
          </w:p>
        </w:tc>
        <w:tc>
          <w:tcPr>
            <w:tcW w:w="1214"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b/>
                <w:bCs/>
                <w:sz w:val="17"/>
                <w:szCs w:val="17"/>
              </w:rPr>
              <w:t>0,740</w:t>
            </w:r>
          </w:p>
        </w:tc>
        <w:tc>
          <w:tcPr>
            <w:tcW w:w="113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b/>
                <w:bCs/>
                <w:sz w:val="17"/>
                <w:szCs w:val="17"/>
              </w:rPr>
              <w:t>0,704</w:t>
            </w:r>
          </w:p>
        </w:tc>
        <w:tc>
          <w:tcPr>
            <w:tcW w:w="1054"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b/>
                <w:bCs/>
                <w:sz w:val="17"/>
                <w:szCs w:val="17"/>
              </w:rPr>
              <w:t>0,199</w:t>
            </w:r>
          </w:p>
        </w:tc>
        <w:tc>
          <w:tcPr>
            <w:tcW w:w="1054"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b/>
                <w:bCs/>
                <w:sz w:val="17"/>
                <w:szCs w:val="17"/>
              </w:rPr>
              <w:t>0,010</w:t>
            </w:r>
          </w:p>
        </w:tc>
      </w:tr>
    </w:tbl>
    <w:p>
      <w:pPr>
        <w:pStyle w:val="BodyText"/>
        <w:spacing w:lineRule="auto" w:line="264" w:before="20" w:after="0"/>
        <w:ind w:left="170" w:right="120"/>
        <w:jc w:val="both"/>
        <w:rPr/>
      </w:pPr>
      <w:r>
        <w:rPr/>
      </w:r>
    </w:p>
    <w:p>
      <w:pPr>
        <w:pStyle w:val="BodyText"/>
        <w:spacing w:lineRule="auto" w:line="264" w:before="90" w:after="0"/>
        <w:ind w:left="170" w:right="120"/>
        <w:jc w:val="both"/>
        <w:rPr/>
      </w:pPr>
      <w:r>
        <w:rPr>
          <w:b/>
          <w:bCs/>
          <w:i w:val="false"/>
          <w:iCs w:val="false"/>
          <w:sz w:val="20"/>
          <w:szCs w:val="20"/>
        </w:rPr>
        <w:t>Recall a capacidad de contacto.</w:t>
      </w:r>
      <w:r>
        <w:rPr>
          <w:i w:val="false"/>
          <w:iCs w:val="false"/>
          <w:sz w:val="20"/>
          <w:szCs w:val="20"/>
        </w:rPr>
        <w:t xml:space="preserve"> Si los concesionarios pueden contactar al X % de la población en ventana, ¿a qué fracción de los que se van alcanzan?</w:t>
      </w:r>
    </w:p>
    <w:tbl>
      <w:tblPr>
        <w:tblW w:w="8598" w:type="dxa"/>
        <w:jc w:val="left"/>
        <w:tblInd w:w="170" w:type="dxa"/>
        <w:tblLayout w:type="fixed"/>
        <w:tblCellMar>
          <w:top w:w="0" w:type="dxa"/>
          <w:left w:w="60" w:type="dxa"/>
          <w:bottom w:w="0" w:type="dxa"/>
          <w:right w:w="60" w:type="dxa"/>
        </w:tblCellMar>
        <w:tblLook w:val="04a0" w:noHBand="0" w:noVBand="1" w:firstColumn="1" w:lastRow="0" w:lastColumn="0" w:firstRow="1"/>
      </w:tblPr>
      <w:tblGrid>
        <w:gridCol w:w="1249"/>
        <w:gridCol w:w="1394"/>
        <w:gridCol w:w="2207"/>
        <w:gridCol w:w="1029"/>
        <w:gridCol w:w="1248"/>
        <w:gridCol w:w="1470"/>
      </w:tblGrid>
      <w:tr>
        <w:trPr>
          <w:tblHeader w:val="true"/>
          <w:cantSplit w:val="true"/>
        </w:trPr>
        <w:tc>
          <w:tcPr>
            <w:tcW w:w="1249"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Capacidad</w:t>
            </w:r>
          </w:p>
        </w:tc>
        <w:tc>
          <w:tcPr>
            <w:tcW w:w="1394"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Contactados</w:t>
            </w:r>
          </w:p>
        </w:tc>
        <w:tc>
          <w:tcPr>
            <w:tcW w:w="2207"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Alcanzados que se iban</w:t>
            </w:r>
          </w:p>
        </w:tc>
        <w:tc>
          <w:tcPr>
            <w:tcW w:w="1029"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Recall</w:t>
            </w:r>
          </w:p>
        </w:tc>
        <w:tc>
          <w:tcPr>
            <w:tcW w:w="1248"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Precisión</w:t>
            </w:r>
          </w:p>
        </w:tc>
        <w:tc>
          <w:tcPr>
            <w:tcW w:w="1470"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Lift vs azar</w:t>
            </w:r>
          </w:p>
        </w:tc>
      </w:tr>
      <w:tr>
        <w:trPr>
          <w:cantSplit w:val="true"/>
        </w:trPr>
        <w:tc>
          <w:tcPr>
            <w:tcW w:w="1249"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5 %</w:t>
            </w:r>
          </w:p>
        </w:tc>
        <w:tc>
          <w:tcPr>
            <w:tcW w:w="1394"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985</w:t>
            </w:r>
          </w:p>
        </w:tc>
        <w:tc>
          <w:tcPr>
            <w:tcW w:w="220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969</w:t>
            </w:r>
          </w:p>
        </w:tc>
        <w:tc>
          <w:tcPr>
            <w:tcW w:w="1029"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11,5 %</w:t>
            </w:r>
          </w:p>
        </w:tc>
        <w:tc>
          <w:tcPr>
            <w:tcW w:w="1248"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98 %</w:t>
            </w:r>
          </w:p>
        </w:tc>
        <w:tc>
          <w:tcPr>
            <w:tcW w:w="147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2,3×</w:t>
            </w:r>
          </w:p>
        </w:tc>
      </w:tr>
      <w:tr>
        <w:trPr>
          <w:cantSplit w:val="true"/>
        </w:trPr>
        <w:tc>
          <w:tcPr>
            <w:tcW w:w="1249"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10 %</w:t>
            </w:r>
          </w:p>
        </w:tc>
        <w:tc>
          <w:tcPr>
            <w:tcW w:w="1394"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1.971</w:t>
            </w:r>
          </w:p>
        </w:tc>
        <w:tc>
          <w:tcPr>
            <w:tcW w:w="220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1.742</w:t>
            </w:r>
          </w:p>
        </w:tc>
        <w:tc>
          <w:tcPr>
            <w:tcW w:w="1029"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20,7 %</w:t>
            </w:r>
          </w:p>
        </w:tc>
        <w:tc>
          <w:tcPr>
            <w:tcW w:w="1248"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88 %</w:t>
            </w:r>
          </w:p>
        </w:tc>
        <w:tc>
          <w:tcPr>
            <w:tcW w:w="147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2,1×</w:t>
            </w:r>
          </w:p>
        </w:tc>
      </w:tr>
      <w:tr>
        <w:trPr>
          <w:cantSplit w:val="true"/>
        </w:trPr>
        <w:tc>
          <w:tcPr>
            <w:tcW w:w="1249"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b/>
                <w:bCs/>
                <w:sz w:val="17"/>
                <w:szCs w:val="17"/>
              </w:rPr>
              <w:t>20 %</w:t>
            </w:r>
          </w:p>
        </w:tc>
        <w:tc>
          <w:tcPr>
            <w:tcW w:w="1394"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b/>
                <w:bCs/>
                <w:sz w:val="17"/>
                <w:szCs w:val="17"/>
              </w:rPr>
              <w:t>3.942</w:t>
            </w:r>
          </w:p>
        </w:tc>
        <w:tc>
          <w:tcPr>
            <w:tcW w:w="220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b/>
                <w:bCs/>
                <w:sz w:val="17"/>
                <w:szCs w:val="17"/>
              </w:rPr>
              <w:t>3.055</w:t>
            </w:r>
          </w:p>
        </w:tc>
        <w:tc>
          <w:tcPr>
            <w:tcW w:w="1029"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b/>
                <w:bCs/>
                <w:sz w:val="17"/>
                <w:szCs w:val="17"/>
              </w:rPr>
              <w:t>36,4 %</w:t>
            </w:r>
          </w:p>
        </w:tc>
        <w:tc>
          <w:tcPr>
            <w:tcW w:w="1248"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b/>
                <w:bCs/>
                <w:sz w:val="17"/>
                <w:szCs w:val="17"/>
              </w:rPr>
              <w:t>78 %</w:t>
            </w:r>
          </w:p>
        </w:tc>
        <w:tc>
          <w:tcPr>
            <w:tcW w:w="147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b/>
                <w:bCs/>
                <w:sz w:val="17"/>
                <w:szCs w:val="17"/>
              </w:rPr>
              <w:t>1,8×</w:t>
            </w:r>
          </w:p>
        </w:tc>
      </w:tr>
      <w:tr>
        <w:trPr>
          <w:cantSplit w:val="true"/>
        </w:trPr>
        <w:tc>
          <w:tcPr>
            <w:tcW w:w="1249"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30 %</w:t>
            </w:r>
          </w:p>
        </w:tc>
        <w:tc>
          <w:tcPr>
            <w:tcW w:w="1394"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5.913</w:t>
            </w:r>
          </w:p>
        </w:tc>
        <w:tc>
          <w:tcPr>
            <w:tcW w:w="220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4.118</w:t>
            </w:r>
          </w:p>
        </w:tc>
        <w:tc>
          <w:tcPr>
            <w:tcW w:w="1029"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49,0 %</w:t>
            </w:r>
          </w:p>
        </w:tc>
        <w:tc>
          <w:tcPr>
            <w:tcW w:w="1248"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70 %</w:t>
            </w:r>
          </w:p>
        </w:tc>
        <w:tc>
          <w:tcPr>
            <w:tcW w:w="147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1,6×</w:t>
            </w:r>
          </w:p>
        </w:tc>
      </w:tr>
      <w:tr>
        <w:trPr>
          <w:cantSplit w:val="true"/>
        </w:trPr>
        <w:tc>
          <w:tcPr>
            <w:tcW w:w="1249"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50 %</w:t>
            </w:r>
          </w:p>
        </w:tc>
        <w:tc>
          <w:tcPr>
            <w:tcW w:w="1394"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9.854</w:t>
            </w:r>
          </w:p>
        </w:tc>
        <w:tc>
          <w:tcPr>
            <w:tcW w:w="220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5.826</w:t>
            </w:r>
          </w:p>
        </w:tc>
        <w:tc>
          <w:tcPr>
            <w:tcW w:w="1029"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69,4 %</w:t>
            </w:r>
          </w:p>
        </w:tc>
        <w:tc>
          <w:tcPr>
            <w:tcW w:w="1248"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59 %</w:t>
            </w:r>
          </w:p>
        </w:tc>
        <w:tc>
          <w:tcPr>
            <w:tcW w:w="147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1,4×</w:t>
            </w:r>
          </w:p>
        </w:tc>
      </w:tr>
    </w:tbl>
    <w:p>
      <w:pPr>
        <w:pStyle w:val="BodyText"/>
        <w:spacing w:lineRule="auto" w:line="264" w:before="20" w:after="0"/>
        <w:ind w:left="170" w:right="120"/>
        <w:jc w:val="both"/>
        <w:rPr/>
      </w:pPr>
      <w:r>
        <w:rPr/>
      </w:r>
    </w:p>
    <w:p>
      <w:pPr>
        <w:pStyle w:val="BodyText"/>
        <w:spacing w:lineRule="auto" w:line="264" w:before="90" w:after="0"/>
        <w:ind w:left="170" w:right="120"/>
        <w:jc w:val="both"/>
        <w:rPr/>
      </w:pPr>
      <w:r>
        <w:rPr>
          <w:i w:val="false"/>
          <w:iCs w:val="false"/>
          <w:sz w:val="20"/>
          <w:szCs w:val="20"/>
        </w:rPr>
        <w:t>Con una capacidad absoluta de 3.000 contactos por mes entre todos los concesionarios, el modelo alcanza al 65 % de los que se van, con una precisión del 61 %.</w:t>
      </w:r>
    </w:p>
    <w:p>
      <w:pPr>
        <w:pStyle w:val="Normal"/>
        <w:keepNext w:val="true"/>
        <w:spacing w:before="120" w:after="0"/>
        <w:ind w:left="170"/>
        <w:jc w:val="center"/>
        <w:rPr/>
      </w:pPr>
      <w:r>
        <w:rPr/>
        <w:drawing>
          <wp:inline distT="0" distB="0" distL="0" distR="0">
            <wp:extent cx="4064000" cy="2623185"/>
            <wp:effectExtent l="0" t="0" r="0" b="0"/>
            <wp:docPr id="7" name="Figura 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 6" descr=""/>
                    <pic:cNvPicPr>
                      <a:picLocks noChangeAspect="1" noChangeArrowheads="1"/>
                    </pic:cNvPicPr>
                  </pic:nvPicPr>
                  <pic:blipFill>
                    <a:blip r:embed="rId15"/>
                    <a:stretch>
                      <a:fillRect/>
                    </a:stretch>
                  </pic:blipFill>
                  <pic:spPr bwMode="auto">
                    <a:xfrm>
                      <a:off x="0" y="0"/>
                      <a:ext cx="4064000" cy="2623185"/>
                    </a:xfrm>
                    <a:prstGeom prst="rect">
                      <a:avLst/>
                    </a:prstGeom>
                  </pic:spPr>
                </pic:pic>
              </a:graphicData>
            </a:graphic>
          </wp:inline>
        </w:drawing>
      </w:r>
    </w:p>
    <w:p>
      <w:pPr>
        <w:pStyle w:val="Caption"/>
        <w:spacing w:before="40" w:after="160"/>
        <w:ind w:left="170" w:right="120"/>
        <w:jc w:val="center"/>
        <w:rPr/>
      </w:pPr>
      <w:r>
        <w:rPr>
          <w:sz w:val="16"/>
          <w:szCs w:val="16"/>
        </w:rPr>
        <w:t>Figura 6. Tasa de churn observada por decil de score. El decil 1 tiene 88 % de churn; el 10, 14 %.</w:t>
      </w:r>
    </w:p>
    <w:p>
      <w:pPr>
        <w:pStyle w:val="BodyText"/>
        <w:spacing w:lineRule="auto" w:line="264" w:before="90" w:after="0"/>
        <w:ind w:left="170" w:right="120"/>
        <w:jc w:val="both"/>
        <w:rPr/>
      </w:pPr>
      <w:r>
        <w:rPr>
          <w:b/>
          <w:bCs/>
          <w:i w:val="false"/>
          <w:iCs w:val="false"/>
          <w:sz w:val="20"/>
          <w:szCs w:val="20"/>
        </w:rPr>
        <w:t>Ablaciones sobre el mismo test:</w:t>
      </w:r>
    </w:p>
    <w:tbl>
      <w:tblPr>
        <w:tblW w:w="8600" w:type="dxa"/>
        <w:jc w:val="left"/>
        <w:tblInd w:w="170" w:type="dxa"/>
        <w:tblLayout w:type="fixed"/>
        <w:tblCellMar>
          <w:top w:w="0" w:type="dxa"/>
          <w:left w:w="60" w:type="dxa"/>
          <w:bottom w:w="0" w:type="dxa"/>
          <w:right w:w="60" w:type="dxa"/>
        </w:tblCellMar>
        <w:tblLook w:val="04a0" w:noHBand="0" w:noVBand="1" w:firstColumn="1" w:lastRow="0" w:lastColumn="0" w:firstRow="1"/>
      </w:tblPr>
      <w:tblGrid>
        <w:gridCol w:w="3120"/>
        <w:gridCol w:w="843"/>
        <w:gridCol w:w="802"/>
        <w:gridCol w:w="800"/>
        <w:gridCol w:w="3035"/>
      </w:tblGrid>
      <w:tr>
        <w:trPr>
          <w:tblHeader w:val="true"/>
          <w:cantSplit w:val="true"/>
        </w:trPr>
        <w:tc>
          <w:tcPr>
            <w:tcW w:w="3120"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Variante</w:t>
            </w:r>
          </w:p>
        </w:tc>
        <w:tc>
          <w:tcPr>
            <w:tcW w:w="843"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ROC-AUC</w:t>
            </w:r>
          </w:p>
        </w:tc>
        <w:tc>
          <w:tcPr>
            <w:tcW w:w="802"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PR-AUC</w:t>
            </w:r>
          </w:p>
        </w:tc>
        <w:tc>
          <w:tcPr>
            <w:tcW w:w="800"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ECE</w:t>
            </w:r>
          </w:p>
        </w:tc>
        <w:tc>
          <w:tcPr>
            <w:tcW w:w="3035"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Lectura</w:t>
            </w:r>
          </w:p>
        </w:tc>
      </w:tr>
      <w:tr>
        <w:trPr>
          <w:cantSplit w:val="true"/>
        </w:trPr>
        <w:tc>
          <w:tcPr>
            <w:tcW w:w="312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Modelo base</w:t>
            </w:r>
          </w:p>
        </w:tc>
        <w:tc>
          <w:tcPr>
            <w:tcW w:w="843"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0,740</w:t>
            </w:r>
          </w:p>
        </w:tc>
        <w:tc>
          <w:tcPr>
            <w:tcW w:w="802"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0,704</w:t>
            </w:r>
          </w:p>
        </w:tc>
        <w:tc>
          <w:tcPr>
            <w:tcW w:w="80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0,010</w:t>
            </w:r>
          </w:p>
        </w:tc>
        <w:tc>
          <w:tcPr>
            <w:tcW w:w="303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w:t>
            </w:r>
          </w:p>
        </w:tc>
      </w:tr>
      <w:tr>
        <w:trPr>
          <w:cantSplit w:val="true"/>
        </w:trPr>
        <w:tc>
          <w:tcPr>
            <w:tcW w:w="312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Sin concesionario, versión ni provincia</w:t>
            </w:r>
          </w:p>
        </w:tc>
        <w:tc>
          <w:tcPr>
            <w:tcW w:w="843"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0,738</w:t>
            </w:r>
          </w:p>
        </w:tc>
        <w:tc>
          <w:tcPr>
            <w:tcW w:w="802"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0,700</w:t>
            </w:r>
          </w:p>
        </w:tc>
        <w:tc>
          <w:tcPr>
            <w:tcW w:w="80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0,017</w:t>
            </w:r>
          </w:p>
        </w:tc>
        <w:tc>
          <w:tcPr>
            <w:tcW w:w="303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No depende de categóricas de alta cardinalidad</w:t>
            </w:r>
          </w:p>
        </w:tc>
      </w:tr>
      <w:tr>
        <w:trPr>
          <w:cantSplit w:val="true"/>
        </w:trPr>
        <w:tc>
          <w:tcPr>
            <w:tcW w:w="312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Sólo agenda (sin features de ventas)</w:t>
            </w:r>
          </w:p>
        </w:tc>
        <w:tc>
          <w:tcPr>
            <w:tcW w:w="843"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0,739</w:t>
            </w:r>
          </w:p>
        </w:tc>
        <w:tc>
          <w:tcPr>
            <w:tcW w:w="802"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0,700</w:t>
            </w:r>
          </w:p>
        </w:tc>
        <w:tc>
          <w:tcPr>
            <w:tcW w:w="80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0,011</w:t>
            </w:r>
          </w:p>
        </w:tc>
        <w:tc>
          <w:tcPr>
            <w:tcW w:w="303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Ventas aporta población, no ranking</w:t>
            </w:r>
          </w:p>
        </w:tc>
      </w:tr>
      <w:tr>
        <w:trPr>
          <w:cantSplit w:val="true"/>
        </w:trPr>
        <w:tc>
          <w:tcPr>
            <w:tcW w:w="312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Exige ≥ 6 meses de historia observable</w:t>
            </w:r>
          </w:p>
        </w:tc>
        <w:tc>
          <w:tcPr>
            <w:tcW w:w="843"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0,738</w:t>
            </w:r>
          </w:p>
        </w:tc>
        <w:tc>
          <w:tcPr>
            <w:tcW w:w="802"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0,702</w:t>
            </w:r>
          </w:p>
        </w:tc>
        <w:tc>
          <w:tcPr>
            <w:tcW w:w="80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0,013</w:t>
            </w:r>
          </w:p>
        </w:tc>
        <w:tc>
          <w:tcPr>
            <w:tcW w:w="303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La censura a la izquierda no distorsiona</w:t>
            </w:r>
          </w:p>
        </w:tc>
      </w:tr>
      <w:tr>
        <w:trPr>
          <w:cantSplit w:val="true"/>
        </w:trPr>
        <w:tc>
          <w:tcPr>
            <w:tcW w:w="312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Sin encuestas</w:t>
            </w:r>
          </w:p>
        </w:tc>
        <w:tc>
          <w:tcPr>
            <w:tcW w:w="843"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0,735</w:t>
            </w:r>
          </w:p>
        </w:tc>
        <w:tc>
          <w:tcPr>
            <w:tcW w:w="802"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0,698</w:t>
            </w:r>
          </w:p>
        </w:tc>
        <w:tc>
          <w:tcPr>
            <w:tcW w:w="80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0,013</w:t>
            </w:r>
          </w:p>
        </w:tc>
        <w:tc>
          <w:tcPr>
            <w:tcW w:w="303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La encuesta no aporta</w:t>
            </w:r>
          </w:p>
        </w:tc>
      </w:tr>
      <w:tr>
        <w:trPr>
          <w:cantSplit w:val="true"/>
        </w:trPr>
        <w:tc>
          <w:tcPr>
            <w:tcW w:w="312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Con ConnectedStatusARG (foto)</w:t>
            </w:r>
          </w:p>
        </w:tc>
        <w:tc>
          <w:tcPr>
            <w:tcW w:w="843"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0,730</w:t>
            </w:r>
          </w:p>
        </w:tc>
        <w:tc>
          <w:tcPr>
            <w:tcW w:w="802"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0,689</w:t>
            </w:r>
          </w:p>
        </w:tc>
        <w:tc>
          <w:tcPr>
            <w:tcW w:w="80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0,029</w:t>
            </w:r>
          </w:p>
        </w:tc>
        <w:tc>
          <w:tcPr>
            <w:tcW w:w="303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Un leakage suave empeora fuera de tiempo</w:t>
            </w:r>
          </w:p>
        </w:tc>
      </w:tr>
      <w:tr>
        <w:trPr>
          <w:cantSplit w:val="true"/>
        </w:trPr>
        <w:tc>
          <w:tcPr>
            <w:tcW w:w="312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Con KM (foto) como km del evento</w:t>
            </w:r>
          </w:p>
        </w:tc>
        <w:tc>
          <w:tcPr>
            <w:tcW w:w="843"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0,813</w:t>
            </w:r>
          </w:p>
        </w:tc>
        <w:tc>
          <w:tcPr>
            <w:tcW w:w="802"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0,802</w:t>
            </w:r>
          </w:p>
        </w:tc>
        <w:tc>
          <w:tcPr>
            <w:tcW w:w="80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0,056</w:t>
            </w:r>
          </w:p>
        </w:tc>
        <w:tc>
          <w:tcPr>
            <w:tcW w:w="303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Rendimiento inflado con información futura</w:t>
            </w:r>
          </w:p>
        </w:tc>
      </w:tr>
      <w:tr>
        <w:trPr>
          <w:cantSplit w:val="true"/>
        </w:trPr>
        <w:tc>
          <w:tcPr>
            <w:tcW w:w="312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Sólo primer service (n = 3.562, churn 47 %)</w:t>
            </w:r>
          </w:p>
        </w:tc>
        <w:tc>
          <w:tcPr>
            <w:tcW w:w="843"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0,805</w:t>
            </w:r>
          </w:p>
        </w:tc>
        <w:tc>
          <w:tcPr>
            <w:tcW w:w="802"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0,835</w:t>
            </w:r>
          </w:p>
        </w:tc>
        <w:tc>
          <w:tcPr>
            <w:tcW w:w="80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0,025</w:t>
            </w:r>
          </w:p>
        </w:tc>
        <w:tc>
          <w:tcPr>
            <w:tcW w:w="303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El primer service es más predecible</w:t>
            </w:r>
          </w:p>
        </w:tc>
      </w:tr>
      <w:tr>
        <w:trPr>
          <w:cantSplit w:val="true"/>
        </w:trPr>
        <w:tc>
          <w:tcPr>
            <w:tcW w:w="312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Sólo services siguientes (n = 16.147, churn 42 %)</w:t>
            </w:r>
          </w:p>
        </w:tc>
        <w:tc>
          <w:tcPr>
            <w:tcW w:w="843"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0,721</w:t>
            </w:r>
          </w:p>
        </w:tc>
        <w:tc>
          <w:tcPr>
            <w:tcW w:w="802"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0,636</w:t>
            </w:r>
          </w:p>
        </w:tc>
        <w:tc>
          <w:tcPr>
            <w:tcW w:w="80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0,013</w:t>
            </w:r>
          </w:p>
        </w:tc>
        <w:tc>
          <w:tcPr>
            <w:tcW w:w="3035"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w:t>
            </w:r>
          </w:p>
        </w:tc>
      </w:tr>
    </w:tbl>
    <w:p>
      <w:pPr>
        <w:pStyle w:val="BodyText"/>
        <w:spacing w:lineRule="auto" w:line="264" w:before="20" w:after="0"/>
        <w:ind w:left="170" w:right="120"/>
        <w:jc w:val="both"/>
        <w:rPr/>
      </w:pPr>
      <w:r>
        <w:rPr/>
      </w:r>
    </w:p>
    <w:p>
      <w:pPr>
        <w:pStyle w:val="Normal"/>
        <w:keepNext w:val="true"/>
        <w:spacing w:before="120" w:after="0"/>
        <w:ind w:left="170"/>
        <w:jc w:val="center"/>
        <w:rPr/>
      </w:pPr>
      <w:r>
        <w:rPr/>
        <w:drawing>
          <wp:inline distT="0" distB="0" distL="0" distR="0">
            <wp:extent cx="4572000" cy="3390900"/>
            <wp:effectExtent l="0" t="0" r="0" b="0"/>
            <wp:docPr id="8" name="Figura 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 7" descr=""/>
                    <pic:cNvPicPr>
                      <a:picLocks noChangeAspect="1" noChangeArrowheads="1"/>
                    </pic:cNvPicPr>
                  </pic:nvPicPr>
                  <pic:blipFill>
                    <a:blip r:embed="rId16"/>
                    <a:stretch>
                      <a:fillRect/>
                    </a:stretch>
                  </pic:blipFill>
                  <pic:spPr bwMode="auto">
                    <a:xfrm>
                      <a:off x="0" y="0"/>
                      <a:ext cx="4572000" cy="3390900"/>
                    </a:xfrm>
                    <a:prstGeom prst="rect">
                      <a:avLst/>
                    </a:prstGeom>
                  </pic:spPr>
                </pic:pic>
              </a:graphicData>
            </a:graphic>
          </wp:inline>
        </w:drawing>
      </w:r>
    </w:p>
    <w:p>
      <w:pPr>
        <w:pStyle w:val="Caption"/>
        <w:spacing w:before="40" w:after="160"/>
        <w:ind w:left="170" w:right="120"/>
        <w:jc w:val="center"/>
        <w:rPr/>
      </w:pPr>
      <w:r>
        <w:rPr>
          <w:sz w:val="16"/>
          <w:szCs w:val="16"/>
        </w:rPr>
        <w:t>Figura 7. Importancia media (SHAP) de las features en test.</w:t>
      </w:r>
    </w:p>
    <w:p>
      <w:pPr>
        <w:pStyle w:val="Heading2"/>
        <w:spacing w:before="280" w:after="0"/>
        <w:ind w:hanging="0" w:left="170"/>
        <w:rPr/>
      </w:pPr>
      <w:bookmarkStart w:id="46" w:name="_Toc241673403"/>
      <w:r>
        <w:rPr/>
        <w:t>Anexo F. Segmentos, población de hoy e integración</w:t>
      </w:r>
      <w:bookmarkEnd w:id="46"/>
    </w:p>
    <w:tbl>
      <w:tblPr>
        <w:tblW w:w="8600" w:type="dxa"/>
        <w:jc w:val="left"/>
        <w:tblInd w:w="170" w:type="dxa"/>
        <w:tblLayout w:type="fixed"/>
        <w:tblCellMar>
          <w:top w:w="0" w:type="dxa"/>
          <w:left w:w="60" w:type="dxa"/>
          <w:bottom w:w="0" w:type="dxa"/>
          <w:right w:w="60" w:type="dxa"/>
        </w:tblCellMar>
        <w:tblLook w:val="04a0" w:noHBand="0" w:noVBand="1" w:firstColumn="1" w:lastRow="0" w:lastColumn="0" w:firstRow="1"/>
      </w:tblPr>
      <w:tblGrid>
        <w:gridCol w:w="798"/>
        <w:gridCol w:w="801"/>
        <w:gridCol w:w="864"/>
        <w:gridCol w:w="1167"/>
        <w:gridCol w:w="3069"/>
        <w:gridCol w:w="1900"/>
      </w:tblGrid>
      <w:tr>
        <w:trPr>
          <w:tblHeader w:val="true"/>
          <w:cantSplit w:val="true"/>
        </w:trPr>
        <w:tc>
          <w:tcPr>
            <w:tcW w:w="798"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Segmento</w:t>
            </w:r>
          </w:p>
        </w:tc>
        <w:tc>
          <w:tcPr>
            <w:tcW w:w="801"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Tamaño</w:t>
            </w:r>
          </w:p>
        </w:tc>
        <w:tc>
          <w:tcPr>
            <w:tcW w:w="864"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Churn (test)</w:t>
            </w:r>
          </w:p>
        </w:tc>
        <w:tc>
          <w:tcPr>
            <w:tcW w:w="1167"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 de los que se van</w:t>
            </w:r>
          </w:p>
        </w:tc>
        <w:tc>
          <w:tcPr>
            <w:tcW w:w="3069"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Acción</w:t>
            </w:r>
          </w:p>
        </w:tc>
        <w:tc>
          <w:tcPr>
            <w:tcW w:w="1900"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Canal</w:t>
            </w:r>
          </w:p>
        </w:tc>
      </w:tr>
      <w:tr>
        <w:trPr>
          <w:cantSplit w:val="true"/>
        </w:trPr>
        <w:tc>
          <w:tcPr>
            <w:tcW w:w="798"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Alto</w:t>
            </w:r>
          </w:p>
        </w:tc>
        <w:tc>
          <w:tcPr>
            <w:tcW w:w="801"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20 %</w:t>
            </w:r>
          </w:p>
        </w:tc>
        <w:tc>
          <w:tcPr>
            <w:tcW w:w="864"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78 %</w:t>
            </w:r>
          </w:p>
        </w:tc>
        <w:tc>
          <w:tcPr>
            <w:tcW w:w="116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36 %</w:t>
            </w:r>
          </w:p>
        </w:tc>
        <w:tc>
          <w:tcPr>
            <w:tcW w:w="3069"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Contacto del asesor de service dentro de las 48 h de abrir la ventana, con oferta concreta: el descuento por continuidad que Ford ya tiene (5 % en el 2° service, 10 % en el 3°, 15 % del 4° en adelante), precio fijo, turno con retiro y entrega</w:t>
            </w:r>
          </w:p>
        </w:tc>
        <w:tc>
          <w:tcPr>
            <w:tcW w:w="190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Service Leads (dealer)</w:t>
            </w:r>
          </w:p>
        </w:tc>
      </w:tr>
      <w:tr>
        <w:trPr>
          <w:cantSplit w:val="true"/>
        </w:trPr>
        <w:tc>
          <w:tcPr>
            <w:tcW w:w="798"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Medio</w:t>
            </w:r>
          </w:p>
        </w:tc>
        <w:tc>
          <w:tcPr>
            <w:tcW w:w="801"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30 %</w:t>
            </w:r>
          </w:p>
        </w:tc>
        <w:tc>
          <w:tcPr>
            <w:tcW w:w="864"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47 %</w:t>
            </w:r>
          </w:p>
        </w:tc>
        <w:tc>
          <w:tcPr>
            <w:tcW w:w="116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33 %</w:t>
            </w:r>
          </w:p>
        </w:tc>
        <w:tc>
          <w:tcPr>
            <w:tcW w:w="3069"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Recordatorio personalizado con turno sugerido y beneficio liviano; segundo toque a los 10 días si no agenda</w:t>
            </w:r>
          </w:p>
        </w:tc>
        <w:tc>
          <w:tcPr>
            <w:tcW w:w="190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FordPass / WhatsApp (Customer Tweet)</w:t>
            </w:r>
          </w:p>
        </w:tc>
      </w:tr>
      <w:tr>
        <w:trPr>
          <w:cantSplit w:val="true"/>
        </w:trPr>
        <w:tc>
          <w:tcPr>
            <w:tcW w:w="798"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Bajo</w:t>
            </w:r>
          </w:p>
        </w:tc>
        <w:tc>
          <w:tcPr>
            <w:tcW w:w="801"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50 %</w:t>
            </w:r>
          </w:p>
        </w:tc>
        <w:tc>
          <w:tcPr>
            <w:tcW w:w="864"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26 %</w:t>
            </w:r>
          </w:p>
        </w:tc>
        <w:tc>
          <w:tcPr>
            <w:tcW w:w="116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31 %</w:t>
            </w:r>
          </w:p>
        </w:tc>
        <w:tc>
          <w:tcPr>
            <w:tcW w:w="3069"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Recordatorio estándar automático</w:t>
            </w:r>
          </w:p>
        </w:tc>
        <w:tc>
          <w:tcPr>
            <w:tcW w:w="190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Service Reminder</w:t>
            </w:r>
          </w:p>
        </w:tc>
      </w:tr>
    </w:tbl>
    <w:p>
      <w:pPr>
        <w:pStyle w:val="BodyText"/>
        <w:spacing w:lineRule="auto" w:line="264" w:before="20" w:after="0"/>
        <w:ind w:left="170" w:right="120"/>
        <w:jc w:val="both"/>
        <w:rPr/>
      </w:pPr>
      <w:r>
        <w:rPr/>
      </w:r>
    </w:p>
    <w:p>
      <w:pPr>
        <w:pStyle w:val="BodyText"/>
        <w:spacing w:lineRule="auto" w:line="264" w:before="90" w:after="0"/>
        <w:ind w:left="170" w:right="120"/>
        <w:jc w:val="both"/>
        <w:rPr/>
      </w:pPr>
      <w:r>
        <w:rPr>
          <w:b/>
          <w:bCs/>
          <w:i w:val="false"/>
          <w:iCs w:val="false"/>
          <w:sz w:val="20"/>
          <w:szCs w:val="20"/>
        </w:rPr>
        <w:t>Población de hoy</w:t>
      </w:r>
      <w:r>
        <w:rPr>
          <w:i w:val="false"/>
          <w:iCs w:val="false"/>
          <w:sz w:val="20"/>
          <w:szCs w:val="20"/>
        </w:rPr>
        <w:t xml:space="preserve"> (corte 25/08/2026): 30.504 vehículos, 22.255 en ventana y 8.249 que entran en los próximos 30 días. Alto: 6.100; Medio: 9.152; Bajo: 15.252. Del total, 1.791 ya tienen turno agendado y salen de la lista de contacto. En el último año, unos 1.200 clientes tuvieron dos o más vehículos entrando en ventana el mismo mes (el 13 % de las ventanas): reciben un único contacto. Un vehículo con 10 días de margen se prioriza distinto que uno con 90.</w:t>
      </w:r>
    </w:p>
    <w:p>
      <w:pPr>
        <w:pStyle w:val="Normal"/>
        <w:keepNext w:val="true"/>
        <w:spacing w:before="120" w:after="0"/>
        <w:ind w:left="170"/>
        <w:jc w:val="center"/>
        <w:rPr/>
      </w:pPr>
      <w:r>
        <w:rPr/>
        <w:drawing>
          <wp:inline distT="0" distB="0" distL="0" distR="0">
            <wp:extent cx="4826000" cy="2542540"/>
            <wp:effectExtent l="0" t="0" r="0" b="0"/>
            <wp:docPr id="9" name="Figura 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 8" descr=""/>
                    <pic:cNvPicPr>
                      <a:picLocks noChangeAspect="1" noChangeArrowheads="1"/>
                    </pic:cNvPicPr>
                  </pic:nvPicPr>
                  <pic:blipFill>
                    <a:blip r:embed="rId17"/>
                    <a:stretch>
                      <a:fillRect/>
                    </a:stretch>
                  </pic:blipFill>
                  <pic:spPr bwMode="auto">
                    <a:xfrm>
                      <a:off x="0" y="0"/>
                      <a:ext cx="4826000" cy="2542540"/>
                    </a:xfrm>
                    <a:prstGeom prst="rect">
                      <a:avLst/>
                    </a:prstGeom>
                  </pic:spPr>
                </pic:pic>
              </a:graphicData>
            </a:graphic>
          </wp:inline>
        </w:drawing>
      </w:r>
    </w:p>
    <w:p>
      <w:pPr>
        <w:pStyle w:val="Caption"/>
        <w:spacing w:before="40" w:after="160"/>
        <w:ind w:left="170" w:right="120"/>
        <w:jc w:val="center"/>
        <w:rPr/>
      </w:pPr>
      <w:r>
        <w:rPr>
          <w:sz w:val="16"/>
          <w:szCs w:val="16"/>
        </w:rPr>
        <w:t>Figura 8. Vehículos que entran en ventana por mes: dimensiona la capacidad de contacto necesaria.</w:t>
      </w:r>
    </w:p>
    <w:p>
      <w:pPr>
        <w:pStyle w:val="BodyText"/>
        <w:spacing w:lineRule="auto" w:line="264" w:before="90" w:after="0"/>
        <w:ind w:left="170" w:right="120"/>
        <w:jc w:val="both"/>
        <w:rPr/>
      </w:pPr>
      <w:r>
        <w:rPr>
          <w:b/>
          <w:bCs/>
          <w:i w:val="false"/>
          <w:iCs w:val="false"/>
          <w:sz w:val="20"/>
          <w:szCs w:val="20"/>
        </w:rPr>
        <w:t>Output del scoring (formato de integración):</w:t>
      </w:r>
    </w:p>
    <w:tbl>
      <w:tblPr>
        <w:tblW w:w="8600" w:type="dxa"/>
        <w:jc w:val="left"/>
        <w:tblInd w:w="170" w:type="dxa"/>
        <w:tblLayout w:type="fixed"/>
        <w:tblCellMar>
          <w:top w:w="0" w:type="dxa"/>
          <w:left w:w="60" w:type="dxa"/>
          <w:bottom w:w="0" w:type="dxa"/>
          <w:right w:w="60" w:type="dxa"/>
        </w:tblCellMar>
        <w:tblLook w:val="04a0" w:noHBand="0" w:noVBand="1" w:firstColumn="1" w:lastRow="0" w:lastColumn="0" w:firstRow="1"/>
      </w:tblPr>
      <w:tblGrid>
        <w:gridCol w:w="4300"/>
        <w:gridCol w:w="4299"/>
      </w:tblGrid>
      <w:tr>
        <w:trPr>
          <w:tblHeader w:val="true"/>
          <w:cantSplit w:val="true"/>
        </w:trPr>
        <w:tc>
          <w:tcPr>
            <w:tcW w:w="4300"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Campo</w:t>
            </w:r>
          </w:p>
        </w:tc>
        <w:tc>
          <w:tcPr>
            <w:tcW w:w="4299"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Contenido</w:t>
            </w:r>
          </w:p>
        </w:tc>
      </w:tr>
      <w:tr>
        <w:trPr>
          <w:cantSplit w:val="true"/>
        </w:trPr>
        <w:tc>
          <w:tcPr>
            <w:tcW w:w="430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customer_id, vehicle_id</w:t>
            </w:r>
          </w:p>
        </w:tc>
        <w:tc>
          <w:tcPr>
            <w:tcW w:w="4299"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identificadores seudonimizados</w:t>
            </w:r>
          </w:p>
        </w:tc>
      </w:tr>
      <w:tr>
        <w:trPr>
          <w:cantSplit w:val="true"/>
        </w:trPr>
        <w:tc>
          <w:tcPr>
            <w:tcW w:w="430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fecha_scoring, fecha_apertura_ventana, vencimiento_estimado, cierre_horizonte, dias_restantes_horizonte</w:t>
            </w:r>
          </w:p>
        </w:tc>
        <w:tc>
          <w:tcPr>
            <w:tcW w:w="4299"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geometría de la ventana</w:t>
            </w:r>
          </w:p>
        </w:tc>
      </w:tr>
      <w:tr>
        <w:trPr>
          <w:cantSplit w:val="true"/>
        </w:trPr>
        <w:tc>
          <w:tcPr>
            <w:tcW w:w="430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prob_churn</w:t>
            </w:r>
          </w:p>
        </w:tc>
        <w:tc>
          <w:tcPr>
            <w:tcW w:w="4299"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probabilidad calibrada (0-1)</w:t>
            </w:r>
          </w:p>
        </w:tc>
      </w:tr>
      <w:tr>
        <w:trPr>
          <w:cantSplit w:val="true"/>
        </w:trPr>
        <w:tc>
          <w:tcPr>
            <w:tcW w:w="430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segmento</w:t>
            </w:r>
          </w:p>
        </w:tc>
        <w:tc>
          <w:tcPr>
            <w:tcW w:w="4299"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Alto / Medio / Bajo</w:t>
            </w:r>
          </w:p>
        </w:tc>
      </w:tr>
      <w:tr>
        <w:trPr>
          <w:cantSplit w:val="true"/>
        </w:trPr>
        <w:tc>
          <w:tcPr>
            <w:tcW w:w="430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driver_1 a driver_3</w:t>
            </w:r>
          </w:p>
        </w:tc>
        <w:tc>
          <w:tcPr>
            <w:tcW w:w="4299"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principales drivers con dirección (↑/↓ riesgo), por ejemplo "días entre los dos últimos mantenimientos = 312 (↑ riesgo)"</w:t>
            </w:r>
          </w:p>
        </w:tc>
      </w:tr>
      <w:tr>
        <w:trPr>
          <w:cantSplit w:val="true"/>
        </w:trPr>
        <w:tc>
          <w:tcPr>
            <w:tcW w:w="430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tiene_turno_agendado, fecha_turno_agendado, prioridad</w:t>
            </w:r>
          </w:p>
        </w:tc>
        <w:tc>
          <w:tcPr>
            <w:tcW w:w="4299"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reglas operativas y ranking</w:t>
            </w:r>
          </w:p>
        </w:tc>
      </w:tr>
      <w:tr>
        <w:trPr>
          <w:cantSplit w:val="true"/>
        </w:trPr>
        <w:tc>
          <w:tcPr>
            <w:tcW w:w="4300"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atributos de contexto</w:t>
            </w:r>
          </w:p>
        </w:tc>
        <w:tc>
          <w:tcPr>
            <w:tcW w:w="4299"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generación, año modelo, unidad de negocio, flota, último canal, concesionario del último service, km/año, días desde el último service</w:t>
            </w:r>
          </w:p>
        </w:tc>
      </w:tr>
    </w:tbl>
    <w:p>
      <w:pPr>
        <w:pStyle w:val="BodyText"/>
        <w:spacing w:lineRule="auto" w:line="264" w:before="20" w:after="0"/>
        <w:ind w:left="170" w:right="120"/>
        <w:jc w:val="both"/>
        <w:rPr/>
      </w:pPr>
      <w:r>
        <w:rPr/>
      </w:r>
    </w:p>
    <w:p>
      <w:pPr>
        <w:pStyle w:val="Heading2"/>
        <w:spacing w:before="280" w:after="0"/>
        <w:ind w:hanging="0" w:left="170"/>
        <w:rPr/>
      </w:pPr>
      <w:bookmarkStart w:id="47" w:name="_Toc241673404"/>
      <w:r>
        <w:rPr/>
        <w:t>Anexo G. Recompra observable</w:t>
      </w:r>
      <w:bookmarkEnd w:id="47"/>
    </w:p>
    <w:p>
      <w:pPr>
        <w:pStyle w:val="BodyText"/>
        <w:spacing w:lineRule="auto" w:line="264" w:before="90" w:after="0"/>
        <w:ind w:left="170" w:right="120"/>
        <w:jc w:val="both"/>
        <w:rPr/>
      </w:pPr>
      <w:r>
        <w:rPr>
          <w:i w:val="false"/>
          <w:iCs w:val="false"/>
          <w:sz w:val="20"/>
          <w:szCs w:val="20"/>
        </w:rPr>
        <w:t>El customer_id persiste entre ventas y entre ventas y agenda, así que el dataset permite observar recompra Ranger→Ranger. 12.239 ventas de 2024-26 (20,6 %) son de compradores que ya usaban otra Ranger, entregada al menos un año antes y vista en la agenda antes de comprar (6.192 compradores, 4.389 personas físicas). De 33.391 dueños de Ranger anteriores a 2024 vistos en la agenda en el primer semestre de 2024, el 6,4 % compró una Ranger 0 km dentro de los 12 meses siguientes y el 11,2 % dentro de los 24. Con esos positivos se puede entrenar un segundo modelo, complementario, que mida el vínculo entre service y recompra.</w:t>
      </w:r>
    </w:p>
    <w:p>
      <w:pPr>
        <w:pStyle w:val="Heading2"/>
        <w:spacing w:before="280" w:after="0"/>
        <w:ind w:hanging="0" w:left="170"/>
        <w:rPr/>
      </w:pPr>
      <w:bookmarkStart w:id="48" w:name="_Toc241673405"/>
      <w:r>
        <w:rPr/>
        <w:t>Anexo H. Impacto por capacidad de contacto</w:t>
      </w:r>
      <w:bookmarkEnd w:id="48"/>
    </w:p>
    <w:p>
      <w:pPr>
        <w:pStyle w:val="BodyText"/>
        <w:spacing w:lineRule="auto" w:line="264" w:before="90" w:after="0"/>
        <w:ind w:left="170" w:right="120"/>
        <w:jc w:val="both"/>
        <w:rPr/>
      </w:pPr>
      <w:r>
        <w:rPr>
          <w:i w:val="false"/>
          <w:iCs w:val="false"/>
          <w:sz w:val="20"/>
          <w:szCs w:val="20"/>
        </w:rPr>
        <w:t>Supuestos declarados y editables: uplift del contacto 15 % (fracción de los que se iban que un contacto con oferta recupera; referencia 10-25 %), valor de un service retenido USD 250 (margen del mantenimiento más valor futuro atribuible: siguientes services, repuestos fuera de garantía, lealtad) y costo de un contacto personal USD 3.</w:t>
      </w:r>
    </w:p>
    <w:tbl>
      <w:tblPr>
        <w:tblW w:w="8598" w:type="dxa"/>
        <w:jc w:val="left"/>
        <w:tblInd w:w="170" w:type="dxa"/>
        <w:tblLayout w:type="fixed"/>
        <w:tblCellMar>
          <w:top w:w="0" w:type="dxa"/>
          <w:left w:w="60" w:type="dxa"/>
          <w:bottom w:w="0" w:type="dxa"/>
          <w:right w:w="60" w:type="dxa"/>
        </w:tblCellMar>
        <w:tblLook w:val="04a0" w:noHBand="0" w:noVBand="1" w:firstColumn="1" w:lastRow="0" w:lastColumn="0" w:firstRow="1"/>
      </w:tblPr>
      <w:tblGrid>
        <w:gridCol w:w="1091"/>
        <w:gridCol w:w="1091"/>
        <w:gridCol w:w="2502"/>
        <w:gridCol w:w="2117"/>
        <w:gridCol w:w="1797"/>
      </w:tblGrid>
      <w:tr>
        <w:trPr>
          <w:tblHeader w:val="true"/>
          <w:cantSplit w:val="true"/>
        </w:trPr>
        <w:tc>
          <w:tcPr>
            <w:tcW w:w="1091"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Capacidad</w:t>
            </w:r>
          </w:p>
        </w:tc>
        <w:tc>
          <w:tcPr>
            <w:tcW w:w="1091"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Contactos</w:t>
            </w:r>
          </w:p>
        </w:tc>
        <w:tc>
          <w:tcPr>
            <w:tcW w:w="2502"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Services recuperados con modelo</w:t>
            </w:r>
          </w:p>
        </w:tc>
        <w:tc>
          <w:tcPr>
            <w:tcW w:w="2117"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Con priorización uniforme</w:t>
            </w:r>
          </w:p>
        </w:tc>
        <w:tc>
          <w:tcPr>
            <w:tcW w:w="1797" w:type="dxa"/>
            <w:tcBorders>
              <w:top w:val="single" w:sz="4" w:space="0" w:color="7F7F7F"/>
              <w:left w:val="single" w:sz="4" w:space="0" w:color="7F7F7F"/>
              <w:bottom w:val="single" w:sz="4" w:space="0" w:color="7F7F7F"/>
              <w:right w:val="single" w:sz="4" w:space="0" w:color="7F7F7F"/>
            </w:tcBorders>
            <w:shd w:color="auto" w:fill="EDEDED" w:val="clear"/>
          </w:tcPr>
          <w:p>
            <w:pPr>
              <w:pStyle w:val="TableParagraph"/>
              <w:spacing w:lineRule="auto" w:line="218" w:before="20" w:after="20"/>
              <w:ind w:left="40"/>
              <w:rPr/>
            </w:pPr>
            <w:r>
              <w:rPr>
                <w:b/>
                <w:bCs/>
                <w:sz w:val="17"/>
                <w:szCs w:val="17"/>
              </w:rPr>
              <w:t>Ganancia incremental</w:t>
            </w:r>
          </w:p>
        </w:tc>
      </w:tr>
      <w:tr>
        <w:trPr>
          <w:cantSplit w:val="true"/>
        </w:trPr>
        <w:tc>
          <w:tcPr>
            <w:tcW w:w="1091"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10 %</w:t>
            </w:r>
          </w:p>
        </w:tc>
        <w:tc>
          <w:tcPr>
            <w:tcW w:w="1091"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1.971</w:t>
            </w:r>
          </w:p>
        </w:tc>
        <w:tc>
          <w:tcPr>
            <w:tcW w:w="2502"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261</w:t>
            </w:r>
          </w:p>
        </w:tc>
        <w:tc>
          <w:tcPr>
            <w:tcW w:w="211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126</w:t>
            </w:r>
          </w:p>
        </w:tc>
        <w:tc>
          <w:tcPr>
            <w:tcW w:w="179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+107 %</w:t>
            </w:r>
          </w:p>
        </w:tc>
      </w:tr>
      <w:tr>
        <w:trPr>
          <w:cantSplit w:val="true"/>
        </w:trPr>
        <w:tc>
          <w:tcPr>
            <w:tcW w:w="1091"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b/>
                <w:bCs/>
                <w:sz w:val="17"/>
                <w:szCs w:val="17"/>
              </w:rPr>
              <w:t>20 %</w:t>
            </w:r>
          </w:p>
        </w:tc>
        <w:tc>
          <w:tcPr>
            <w:tcW w:w="1091"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b/>
                <w:bCs/>
                <w:sz w:val="17"/>
                <w:szCs w:val="17"/>
              </w:rPr>
              <w:t>3.942</w:t>
            </w:r>
          </w:p>
        </w:tc>
        <w:tc>
          <w:tcPr>
            <w:tcW w:w="2502"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b/>
                <w:bCs/>
                <w:sz w:val="17"/>
                <w:szCs w:val="17"/>
              </w:rPr>
              <w:t>458</w:t>
            </w:r>
          </w:p>
        </w:tc>
        <w:tc>
          <w:tcPr>
            <w:tcW w:w="211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b/>
                <w:bCs/>
                <w:sz w:val="17"/>
                <w:szCs w:val="17"/>
              </w:rPr>
              <w:t>252</w:t>
            </w:r>
          </w:p>
        </w:tc>
        <w:tc>
          <w:tcPr>
            <w:tcW w:w="179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b/>
                <w:bCs/>
                <w:sz w:val="17"/>
                <w:szCs w:val="17"/>
              </w:rPr>
              <w:t>+82 %</w:t>
            </w:r>
          </w:p>
        </w:tc>
      </w:tr>
      <w:tr>
        <w:trPr>
          <w:cantSplit w:val="true"/>
        </w:trPr>
        <w:tc>
          <w:tcPr>
            <w:tcW w:w="1091"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30 %</w:t>
            </w:r>
          </w:p>
        </w:tc>
        <w:tc>
          <w:tcPr>
            <w:tcW w:w="1091"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5.913</w:t>
            </w:r>
          </w:p>
        </w:tc>
        <w:tc>
          <w:tcPr>
            <w:tcW w:w="2502"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618</w:t>
            </w:r>
          </w:p>
        </w:tc>
        <w:tc>
          <w:tcPr>
            <w:tcW w:w="211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378</w:t>
            </w:r>
          </w:p>
        </w:tc>
        <w:tc>
          <w:tcPr>
            <w:tcW w:w="179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+63 %</w:t>
            </w:r>
          </w:p>
        </w:tc>
      </w:tr>
      <w:tr>
        <w:trPr>
          <w:cantSplit w:val="true"/>
        </w:trPr>
        <w:tc>
          <w:tcPr>
            <w:tcW w:w="1091"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50 %</w:t>
            </w:r>
          </w:p>
        </w:tc>
        <w:tc>
          <w:tcPr>
            <w:tcW w:w="1091"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9.854</w:t>
            </w:r>
          </w:p>
        </w:tc>
        <w:tc>
          <w:tcPr>
            <w:tcW w:w="2502"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874</w:t>
            </w:r>
          </w:p>
        </w:tc>
        <w:tc>
          <w:tcPr>
            <w:tcW w:w="211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630</w:t>
            </w:r>
          </w:p>
        </w:tc>
        <w:tc>
          <w:tcPr>
            <w:tcW w:w="1797" w:type="dxa"/>
            <w:tcBorders>
              <w:top w:val="single" w:sz="4" w:space="0" w:color="7F7F7F"/>
              <w:left w:val="single" w:sz="4" w:space="0" w:color="7F7F7F"/>
              <w:bottom w:val="single" w:sz="4" w:space="0" w:color="7F7F7F"/>
              <w:right w:val="single" w:sz="4" w:space="0" w:color="7F7F7F"/>
            </w:tcBorders>
          </w:tcPr>
          <w:p>
            <w:pPr>
              <w:pStyle w:val="TableParagraph"/>
              <w:spacing w:lineRule="auto" w:line="218" w:before="20" w:after="20"/>
              <w:ind w:left="40"/>
              <w:rPr/>
            </w:pPr>
            <w:r>
              <w:rPr>
                <w:sz w:val="17"/>
                <w:szCs w:val="17"/>
              </w:rPr>
              <w:t>+39 %</w:t>
            </w:r>
          </w:p>
        </w:tc>
      </w:tr>
    </w:tbl>
    <w:p>
      <w:pPr>
        <w:pStyle w:val="BodyText"/>
        <w:spacing w:lineRule="auto" w:line="264" w:before="20" w:after="0"/>
        <w:ind w:left="170" w:right="120"/>
        <w:jc w:val="both"/>
        <w:rPr/>
      </w:pPr>
      <w:r>
        <w:rPr/>
      </w:r>
    </w:p>
    <w:p>
      <w:pPr>
        <w:pStyle w:val="BodyText"/>
        <w:spacing w:lineRule="auto" w:line="264" w:before="90" w:after="0"/>
        <w:ind w:left="170" w:right="120"/>
        <w:jc w:val="both"/>
        <w:rPr/>
      </w:pPr>
      <w:r>
        <w:rPr>
          <w:i w:val="false"/>
          <w:iCs w:val="false"/>
          <w:sz w:val="20"/>
          <w:szCs w:val="20"/>
        </w:rPr>
        <w:t>Sobre las 19.709 ventanas de los tres meses de test, contactar al 20 % con el modelo en lugar de al azar vale unos USD 52.000 de margen incremental; anualizado, del orden de USD 200.000.</w:t>
      </w:r>
    </w:p>
    <w:p>
      <w:pPr>
        <w:pStyle w:val="Heading2"/>
        <w:spacing w:before="280" w:after="0"/>
        <w:ind w:hanging="0" w:left="170"/>
        <w:rPr/>
      </w:pPr>
      <w:bookmarkStart w:id="49" w:name="_Toc241673406"/>
      <w:r>
        <w:rPr/>
        <w:t>Anexo I. Preguntas abiertas para Ford</w:t>
      </w:r>
      <w:bookmarkEnd w:id="49"/>
    </w:p>
    <w:p>
      <w:pPr>
        <w:pStyle w:val="ListParagraph"/>
        <w:numPr>
          <w:ilvl w:val="0"/>
          <w:numId w:val="2"/>
        </w:numPr>
        <w:spacing w:lineRule="auto" w:line="259" w:before="50" w:after="0"/>
        <w:ind w:hanging="220" w:left="560" w:right="120"/>
        <w:jc w:val="both"/>
        <w:rPr/>
      </w:pPr>
      <w:r>
        <w:rPr>
          <w:sz w:val="20"/>
          <w:szCs w:val="20"/>
        </w:rPr>
        <w:t>¿Confirman el plan de 16.000 km / 12 meses (Ranger P703 y Raptor nueva) y 10.000 km / 1 año (P375 y anteriores) que publica ford.com.ar? ¿Hay excepciones por versión o por uso severo?</w:t>
      </w:r>
    </w:p>
    <w:p>
      <w:pPr>
        <w:pStyle w:val="ListParagraph"/>
        <w:numPr>
          <w:ilvl w:val="0"/>
          <w:numId w:val="2"/>
        </w:numPr>
        <w:spacing w:lineRule="auto" w:line="259" w:before="50" w:after="0"/>
        <w:ind w:hanging="220" w:left="560" w:right="120"/>
        <w:jc w:val="both"/>
        <w:rPr/>
      </w:pPr>
      <w:r>
        <w:rPr>
          <w:sz w:val="20"/>
          <w:szCs w:val="20"/>
        </w:rPr>
        <w:t>¿Con cuánta anticipación contacta hoy Service Reminder? Define la apertura (−30 o −60 días).</w:t>
      </w:r>
    </w:p>
    <w:p>
      <w:pPr>
        <w:pStyle w:val="ListParagraph"/>
        <w:numPr>
          <w:ilvl w:val="0"/>
          <w:numId w:val="2"/>
        </w:numPr>
        <w:spacing w:lineRule="auto" w:line="259" w:before="50" w:after="0"/>
        <w:ind w:hanging="220" w:left="560" w:right="120"/>
        <w:jc w:val="both"/>
        <w:rPr/>
      </w:pPr>
      <w:r>
        <w:rPr>
          <w:sz w:val="20"/>
          <w:szCs w:val="20"/>
        </w:rPr>
        <w:t>¿Cuál es la capacidad real de contactos personales por concesionario y mes?</w:t>
      </w:r>
    </w:p>
    <w:p>
      <w:pPr>
        <w:pStyle w:val="ListParagraph"/>
        <w:numPr>
          <w:ilvl w:val="0"/>
          <w:numId w:val="2"/>
        </w:numPr>
        <w:spacing w:lineRule="auto" w:line="259" w:before="50" w:after="0"/>
        <w:ind w:hanging="220" w:left="560" w:right="120"/>
        <w:jc w:val="both"/>
        <w:rPr/>
      </w:pPr>
      <w:r>
        <w:rPr>
          <w:sz w:val="20"/>
          <w:szCs w:val="20"/>
        </w:rPr>
        <w:t>¿Hay kilometraje de telemetría disponible para los vehículos conectados?</w:t>
      </w:r>
    </w:p>
    <w:p>
      <w:pPr>
        <w:pStyle w:val="ListParagraph"/>
        <w:numPr>
          <w:ilvl w:val="0"/>
          <w:numId w:val="2"/>
        </w:numPr>
        <w:spacing w:lineRule="auto" w:line="259" w:before="50" w:after="0"/>
        <w:ind w:hanging="220" w:left="560" w:right="120"/>
        <w:jc w:val="both"/>
        <w:rPr/>
      </w:pPr>
      <w:r>
        <w:rPr>
          <w:sz w:val="20"/>
          <w:szCs w:val="20"/>
        </w:rPr>
        <w:t>¿Un "cambio de aceite" suelto cuenta como mantenimiento programado?</w:t>
      </w:r>
    </w:p>
    <w:p>
      <w:pPr>
        <w:pStyle w:val="ListParagraph"/>
        <w:numPr>
          <w:ilvl w:val="0"/>
          <w:numId w:val="2"/>
        </w:numPr>
        <w:spacing w:lineRule="auto" w:line="259" w:before="50" w:after="0"/>
        <w:ind w:hanging="220" w:left="560" w:right="120"/>
        <w:jc w:val="both"/>
        <w:rPr/>
      </w:pPr>
      <w:r>
        <w:rPr>
          <w:sz w:val="20"/>
          <w:szCs w:val="20"/>
        </w:rPr>
        <w:t>¿Existe la fecha de creación del turno en el sistema de Agenda?</w:t>
      </w:r>
    </w:p>
    <w:p>
      <w:pPr>
        <w:pStyle w:val="Heading2"/>
        <w:spacing w:before="280" w:after="0"/>
        <w:ind w:hanging="0" w:left="170"/>
        <w:rPr/>
      </w:pPr>
      <w:bookmarkStart w:id="50" w:name="_Toc241673407"/>
      <w:r>
        <w:rPr/>
        <w:t>Anexo J. Reproducibilidad: dónde está cada cosa</w:t>
      </w:r>
      <w:bookmarkEnd w:id="50"/>
    </w:p>
    <w:p>
      <w:pPr>
        <w:pStyle w:val="BodyText"/>
        <w:spacing w:lineRule="auto" w:line="264" w:before="90" w:after="0"/>
        <w:ind w:left="170" w:right="120"/>
        <w:jc w:val="both"/>
        <w:rPr/>
      </w:pPr>
      <w:bookmarkStart w:id="51" w:name="cuerpo_informe"/>
      <w:r>
        <w:rPr>
          <w:i w:val="false"/>
          <w:iCs w:val="false"/>
          <w:sz w:val="20"/>
          <w:szCs w:val="20"/>
        </w:rPr>
        <w:t>Repositorio del equipo, carpeta desafio-1-repurchase-propensity/: src/repurchase/ (carga, eventos, ventanas, features, modelo, evaluación, explicabilidad, negocio), scripts/run_pipeline.py (todo de punta a punta en unos tres minutos: carga y tipado de los CSV, consolidación de la agenda a nivel turno, ventanas y target, features, entrenamiento, calibración, evaluación temporal, SHAP, segmentos, ROI y scoring de la población actual), scripts/eda/ (seis análisis reproducibles, cada uno verificado por un segundo análisis independiente), scripts/sensibilidad_ventana.py, scripts/ablaciones.py, notebooks/ (tres notebooks ejecutados como evidencia), app/ (dashboard) y config/ (parámetros de ventana y supuestos de negocio). Entorno: Python 3.12, pandas, scikit-learn, LightGBM, SHAP, Streamlit. Los datos crudos no se modifican ni se versionan.</w:t>
      </w:r>
      <w:bookmarkEnd w:id="51"/>
    </w:p>
    <w:sectPr>
      <w:headerReference w:type="default" r:id="rId18"/>
      <w:headerReference w:type="first" r:id="rId19"/>
      <w:footerReference w:type="default" r:id="rId20"/>
      <w:footerReference w:type="first" r:id="rId21"/>
      <w:type w:val="nextPage"/>
      <w:pgSz w:w="11906" w:h="16838"/>
      <w:pgMar w:left="1417" w:right="1559" w:gutter="0" w:header="0" w:top="1260" w:footer="865" w:bottom="1060"/>
      <w:pgNumType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Palatino Linotype">
    <w:charset w:val="01"/>
    <w:family w:val="roman"/>
    <w:pitch w:val="variable"/>
  </w:font>
  <w:font w:name="Georgia">
    <w:charset w:val="01"/>
    <w:family w:val="roman"/>
    <w:pitch w:val="variable"/>
  </w:font>
  <w:font w:name="Cambria">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default"/>
  </w:font>
  <w:font w:name="Palatino Linotype">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4.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5.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514" w:hanging="344"/>
      </w:pPr>
      <w:rPr>
        <w:sz w:val="24"/>
        <w:spacing w:val="-1"/>
        <w:i w:val="false"/>
        <w:u w:val="single" w:color="000000"/>
        <w:b/>
        <w:szCs w:val="24"/>
        <w:iCs w:val="false"/>
        <w:bCs/>
        <w:w w:val="105"/>
        <w:rFonts w:ascii="Palatino Linotype" w:hAnsi="Palatino Linotype" w:eastAsia="Palatino Linotype" w:cs="Palatino Linotype"/>
        <w:lang w:val="es-ES" w:eastAsia="en-US" w:bidi="ar-SA"/>
      </w:rPr>
    </w:lvl>
    <w:lvl w:ilvl="1">
      <w:start w:val="1"/>
      <w:numFmt w:val="decimal"/>
      <w:lvlText w:val="%1.%2"/>
      <w:lvlJc w:val="left"/>
      <w:pPr>
        <w:tabs>
          <w:tab w:val="num" w:pos="0"/>
        </w:tabs>
        <w:ind w:left="616" w:hanging="446"/>
      </w:pPr>
      <w:rPr>
        <w:sz w:val="22"/>
        <w:spacing w:val="0"/>
        <w:i w:val="false"/>
        <w:b/>
        <w:szCs w:val="22"/>
        <w:iCs w:val="false"/>
        <w:bCs/>
        <w:w w:val="116"/>
        <w:rFonts w:ascii="Palatino Linotype" w:hAnsi="Palatino Linotype" w:eastAsia="Palatino Linotype" w:cs="Palatino Linotype"/>
        <w:lang w:val="es-ES" w:eastAsia="en-US" w:bidi="ar-SA"/>
      </w:rPr>
    </w:lvl>
    <w:lvl w:ilvl="2">
      <w:start w:val="1"/>
      <w:numFmt w:val="decimal"/>
      <w:lvlText w:val="%1.%2.%3"/>
      <w:lvlJc w:val="left"/>
      <w:pPr>
        <w:tabs>
          <w:tab w:val="num" w:pos="0"/>
        </w:tabs>
        <w:ind w:left="841" w:hanging="672"/>
      </w:pPr>
      <w:rPr>
        <w:sz w:val="22"/>
        <w:spacing w:val="0"/>
        <w:i/>
        <w:b/>
        <w:szCs w:val="22"/>
        <w:iCs/>
        <w:bCs/>
        <w:w w:val="102"/>
        <w:rFonts w:ascii="Georgia" w:hAnsi="Georgia" w:eastAsia="Georgia" w:cs="Georgia"/>
        <w:lang w:val="es-ES" w:eastAsia="en-US" w:bidi="ar-SA"/>
      </w:rPr>
    </w:lvl>
    <w:lvl w:ilvl="3">
      <w:start w:val="0"/>
      <w:numFmt w:val="bullet"/>
      <w:lvlText w:val=""/>
      <w:lvlJc w:val="left"/>
      <w:pPr>
        <w:tabs>
          <w:tab w:val="num" w:pos="0"/>
        </w:tabs>
        <w:ind w:left="1851" w:hanging="672"/>
      </w:pPr>
      <w:rPr>
        <w:rFonts w:ascii="Symbol" w:hAnsi="Symbol" w:cs="Symbol" w:hint="default"/>
        <w:lang w:val="es-ES" w:eastAsia="en-US" w:bidi="ar-SA"/>
      </w:rPr>
    </w:lvl>
    <w:lvl w:ilvl="4">
      <w:start w:val="0"/>
      <w:numFmt w:val="bullet"/>
      <w:lvlText w:val=""/>
      <w:lvlJc w:val="left"/>
      <w:pPr>
        <w:tabs>
          <w:tab w:val="num" w:pos="0"/>
        </w:tabs>
        <w:ind w:left="2862" w:hanging="672"/>
      </w:pPr>
      <w:rPr>
        <w:rFonts w:ascii="Symbol" w:hAnsi="Symbol" w:cs="Symbol" w:hint="default"/>
        <w:lang w:val="es-ES" w:eastAsia="en-US" w:bidi="ar-SA"/>
      </w:rPr>
    </w:lvl>
    <w:lvl w:ilvl="5">
      <w:start w:val="0"/>
      <w:numFmt w:val="bullet"/>
      <w:lvlText w:val=""/>
      <w:lvlJc w:val="left"/>
      <w:pPr>
        <w:tabs>
          <w:tab w:val="num" w:pos="0"/>
        </w:tabs>
        <w:ind w:left="3873" w:hanging="672"/>
      </w:pPr>
      <w:rPr>
        <w:rFonts w:ascii="Symbol" w:hAnsi="Symbol" w:cs="Symbol" w:hint="default"/>
        <w:lang w:val="es-ES" w:eastAsia="en-US" w:bidi="ar-SA"/>
      </w:rPr>
    </w:lvl>
    <w:lvl w:ilvl="6">
      <w:start w:val="0"/>
      <w:numFmt w:val="bullet"/>
      <w:lvlText w:val=""/>
      <w:lvlJc w:val="left"/>
      <w:pPr>
        <w:tabs>
          <w:tab w:val="num" w:pos="0"/>
        </w:tabs>
        <w:ind w:left="4884" w:hanging="672"/>
      </w:pPr>
      <w:rPr>
        <w:rFonts w:ascii="Symbol" w:hAnsi="Symbol" w:cs="Symbol" w:hint="default"/>
        <w:lang w:val="es-ES" w:eastAsia="en-US" w:bidi="ar-SA"/>
      </w:rPr>
    </w:lvl>
    <w:lvl w:ilvl="7">
      <w:start w:val="0"/>
      <w:numFmt w:val="bullet"/>
      <w:lvlText w:val=""/>
      <w:lvlJc w:val="left"/>
      <w:pPr>
        <w:tabs>
          <w:tab w:val="num" w:pos="0"/>
        </w:tabs>
        <w:ind w:left="5895" w:hanging="672"/>
      </w:pPr>
      <w:rPr>
        <w:rFonts w:ascii="Symbol" w:hAnsi="Symbol" w:cs="Symbol" w:hint="default"/>
        <w:lang w:val="es-ES" w:eastAsia="en-US" w:bidi="ar-SA"/>
      </w:rPr>
    </w:lvl>
    <w:lvl w:ilvl="8">
      <w:start w:val="0"/>
      <w:numFmt w:val="bullet"/>
      <w:lvlText w:val=""/>
      <w:lvlJc w:val="left"/>
      <w:pPr>
        <w:tabs>
          <w:tab w:val="num" w:pos="0"/>
        </w:tabs>
        <w:ind w:left="6907" w:hanging="672"/>
      </w:pPr>
      <w:rPr>
        <w:rFonts w:ascii="Symbol" w:hAnsi="Symbol" w:cs="Symbol" w:hint="default"/>
        <w:lang w:val="es-ES" w:eastAsia="en-US" w:bidi="ar-SA"/>
      </w:rPr>
    </w:lvl>
  </w:abstractNum>
  <w:abstractNum w:abstractNumId="2">
    <w:lvl w:ilvl="0">
      <w:start w:val="1"/>
      <w:numFmt w:val="bullet"/>
      <w:lvlText w:val="•"/>
      <w:lvlJc w:val="left"/>
      <w:pPr>
        <w:tabs>
          <w:tab w:val="num" w:pos="0"/>
        </w:tabs>
        <w:ind w:left="560" w:hanging="220"/>
      </w:pPr>
      <w:rPr>
        <w:rFonts w:ascii="Palatino Linotype" w:hAnsi="Palatino Linotype" w:cs="Palatino Linotype" w:hint="default"/>
      </w:rPr>
    </w:lvl>
    <w:lvl w:ilvl="1">
      <w:start w:val="0"/>
      <w:numFmt w:val="decimal"/>
      <w:lvlText w:val=""/>
      <w:lvlJc w:val="left"/>
      <w:pPr>
        <w:tabs>
          <w:tab w:val="num" w:pos="0"/>
        </w:tabs>
        <w:ind w:left="0" w:hanging="0"/>
      </w:pPr>
      <w:rPr/>
    </w:lvl>
    <w:lvl w:ilvl="2">
      <w:start w:val="0"/>
      <w:numFmt w:val="decimal"/>
      <w:lvlText w:val=""/>
      <w:lvlJc w:val="left"/>
      <w:pPr>
        <w:tabs>
          <w:tab w:val="num" w:pos="0"/>
        </w:tabs>
        <w:ind w:left="0" w:hanging="0"/>
      </w:pPr>
      <w:rPr/>
    </w:lvl>
    <w:lvl w:ilvl="3">
      <w:start w:val="0"/>
      <w:numFmt w:val="decimal"/>
      <w:lvlText w:val=""/>
      <w:lvlJc w:val="left"/>
      <w:pPr>
        <w:tabs>
          <w:tab w:val="num" w:pos="0"/>
        </w:tabs>
        <w:ind w:left="0" w:hanging="0"/>
      </w:pPr>
      <w:rPr/>
    </w:lvl>
    <w:lvl w:ilvl="4">
      <w:start w:val="0"/>
      <w:numFmt w:val="decimal"/>
      <w:lvlText w:val=""/>
      <w:lvlJc w:val="left"/>
      <w:pPr>
        <w:tabs>
          <w:tab w:val="num" w:pos="0"/>
        </w:tabs>
        <w:ind w:left="0" w:hanging="0"/>
      </w:pPr>
      <w:rPr/>
    </w:lvl>
    <w:lvl w:ilvl="5">
      <w:start w:val="0"/>
      <w:numFmt w:val="decimal"/>
      <w:lvlText w:val=""/>
      <w:lvlJc w:val="left"/>
      <w:pPr>
        <w:tabs>
          <w:tab w:val="num" w:pos="0"/>
        </w:tabs>
        <w:ind w:left="0" w:hanging="0"/>
      </w:pPr>
      <w:rPr/>
    </w:lvl>
    <w:lvl w:ilvl="6">
      <w:start w:val="0"/>
      <w:numFmt w:val="decimal"/>
      <w:lvlText w:val=""/>
      <w:lvlJc w:val="left"/>
      <w:pPr>
        <w:tabs>
          <w:tab w:val="num" w:pos="0"/>
        </w:tabs>
        <w:ind w:left="0" w:hanging="0"/>
      </w:pPr>
      <w:rPr/>
    </w:lvl>
    <w:lvl w:ilvl="7">
      <w:start w:val="0"/>
      <w:numFmt w:val="decimal"/>
      <w:lvlText w:val=""/>
      <w:lvlJc w:val="left"/>
      <w:pPr>
        <w:tabs>
          <w:tab w:val="num" w:pos="0"/>
        </w:tabs>
        <w:ind w:left="0" w:hanging="0"/>
      </w:pPr>
      <w:rPr/>
    </w:lvl>
    <w:lvl w:ilvl="8">
      <w:start w:val="0"/>
      <w:numFmt w:val="decimal"/>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34"/>
  <w:defaultTabStop w:val="720"/>
  <w:autoHyphenation w:val="true"/>
  <w:compat>
    <w:compatSetting w:name="compatibilityMode" w:uri="http://schemas.microsoft.com/office/word" w:val="12"/>
    <w:compatSetting w:name="useWord2013TrackBottomHyphenation" w:uri="http://schemas.microsoft.com/office/word" w:val="1"/>
  </w:compat>
  <w:themeFontLang w:val="es-AR"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val="false"/>
      <w:suppressAutoHyphens w:val="true"/>
      <w:bidi w:val="0"/>
      <w:spacing w:before="0" w:after="0"/>
      <w:jc w:val="left"/>
    </w:pPr>
    <w:rPr>
      <w:rFonts w:ascii="Palatino Linotype" w:hAnsi="Palatino Linotype" w:eastAsia="Palatino Linotype" w:cs="Palatino Linotype"/>
      <w:color w:val="auto"/>
      <w:kern w:val="0"/>
      <w:sz w:val="22"/>
      <w:szCs w:val="22"/>
      <w:lang w:val="es-ES" w:eastAsia="en-US" w:bidi="ar-SA"/>
    </w:rPr>
  </w:style>
  <w:style w:type="paragraph" w:styleId="Heading1">
    <w:name w:val="Heading 1"/>
    <w:basedOn w:val="Normal"/>
    <w:uiPriority w:val="9"/>
    <w:qFormat/>
    <w:pPr>
      <w:spacing w:before="106" w:after="0"/>
      <w:ind w:hanging="208" w:left="378"/>
      <w:outlineLvl w:val="0"/>
    </w:pPr>
    <w:rPr>
      <w:b/>
      <w:bCs/>
      <w:sz w:val="24"/>
      <w:szCs w:val="24"/>
      <w:u w:val="single" w:color="000000"/>
    </w:rPr>
  </w:style>
  <w:style w:type="paragraph" w:styleId="Heading2">
    <w:name w:val="Heading 2"/>
    <w:basedOn w:val="Normal"/>
    <w:uiPriority w:val="9"/>
    <w:unhideWhenUsed/>
    <w:qFormat/>
    <w:pPr>
      <w:ind w:hanging="445" w:left="615"/>
      <w:outlineLvl w:val="1"/>
    </w:pPr>
    <w:rPr>
      <w:b/>
      <w:bCs/>
    </w:rPr>
  </w:style>
  <w:style w:type="paragraph" w:styleId="Heading3">
    <w:name w:val="Heading 3"/>
    <w:basedOn w:val="Normal"/>
    <w:uiPriority w:val="9"/>
    <w:unhideWhenUsed/>
    <w:qFormat/>
    <w:pPr>
      <w:spacing w:before="282" w:after="0"/>
      <w:ind w:hanging="670" w:left="840"/>
      <w:outlineLvl w:val="2"/>
    </w:pPr>
    <w:rPr>
      <w:rFonts w:ascii="Georgia" w:hAnsi="Georgia" w:eastAsia="Georgia" w:cs="Georgia"/>
      <w:b/>
      <w:bCs/>
      <w:i/>
      <w:iCs/>
    </w:rPr>
  </w:style>
  <w:style w:type="paragraph" w:styleId="Heading4">
    <w:name w:val="Heading 4"/>
    <w:basedOn w:val="Normal"/>
    <w:next w:val="Normal"/>
    <w:link w:val="Ttulo4Car"/>
    <w:uiPriority w:val="9"/>
    <w:semiHidden/>
    <w:unhideWhenUsed/>
    <w:qFormat/>
    <w:rsid w:val="00493996"/>
    <w:pPr>
      <w:keepNext w:val="true"/>
      <w:keepLines/>
      <w:spacing w:before="40" w:after="0"/>
      <w:outlineLvl w:val="3"/>
    </w:pPr>
    <w:rPr>
      <w:rFonts w:ascii="Cambria" w:hAnsi="Cambria" w:eastAsia="" w:cs="" w:asciiTheme="majorHAnsi" w:cstheme="majorBidi" w:eastAsiaTheme="majorEastAsia" w:hAnsiTheme="majorHAnsi"/>
      <w:i/>
      <w:iCs/>
      <w:color w:themeColor="accent1" w:themeShade="bf" w:val="365F91"/>
    </w:rPr>
  </w:style>
  <w:style w:type="paragraph" w:styleId="Heading5">
    <w:name w:val="Heading 5"/>
    <w:basedOn w:val="Normal"/>
    <w:next w:val="Normal"/>
    <w:link w:val="Ttulo5Car"/>
    <w:uiPriority w:val="9"/>
    <w:semiHidden/>
    <w:unhideWhenUsed/>
    <w:qFormat/>
    <w:rsid w:val="00493996"/>
    <w:pPr>
      <w:keepNext w:val="true"/>
      <w:keepLines/>
      <w:spacing w:before="40" w:after="0"/>
      <w:outlineLvl w:val="4"/>
    </w:pPr>
    <w:rPr>
      <w:rFonts w:ascii="Cambria" w:hAnsi="Cambria" w:eastAsia="" w:cs="" w:asciiTheme="majorHAnsi" w:cstheme="majorBidi" w:eastAsiaTheme="majorEastAsia" w:hAnsiTheme="majorHAnsi"/>
      <w:color w:themeColor="accent1" w:themeShade="bf" w:val="365F91"/>
    </w:rPr>
  </w:style>
  <w:style w:type="paragraph" w:styleId="Heading6">
    <w:name w:val="Heading 6"/>
    <w:basedOn w:val="Normal"/>
    <w:next w:val="Normal"/>
    <w:link w:val="Ttulo6Car"/>
    <w:uiPriority w:val="9"/>
    <w:semiHidden/>
    <w:unhideWhenUsed/>
    <w:qFormat/>
    <w:rsid w:val="00493996"/>
    <w:pPr>
      <w:keepNext w:val="true"/>
      <w:keepLines/>
      <w:spacing w:before="40" w:after="0"/>
      <w:outlineLvl w:val="5"/>
    </w:pPr>
    <w:rPr>
      <w:rFonts w:ascii="Cambria" w:hAnsi="Cambria" w:eastAsia="" w:cs="" w:asciiTheme="majorHAnsi" w:cstheme="majorBidi" w:eastAsiaTheme="majorEastAsia" w:hAnsiTheme="majorHAnsi"/>
      <w:color w:themeColor="accent1" w:themeShade="7f" w:val="243F60"/>
    </w:rPr>
  </w:style>
  <w:style w:type="paragraph" w:styleId="Heading7">
    <w:name w:val="Heading 7"/>
    <w:basedOn w:val="Normal"/>
    <w:next w:val="Normal"/>
    <w:link w:val="Ttulo7Car"/>
    <w:uiPriority w:val="9"/>
    <w:semiHidden/>
    <w:unhideWhenUsed/>
    <w:qFormat/>
    <w:rsid w:val="00493996"/>
    <w:pPr>
      <w:keepNext w:val="true"/>
      <w:keepLines/>
      <w:spacing w:before="40" w:after="0"/>
      <w:outlineLvl w:val="6"/>
    </w:pPr>
    <w:rPr>
      <w:rFonts w:ascii="Cambria" w:hAnsi="Cambria" w:eastAsia="" w:cs="" w:asciiTheme="majorHAnsi" w:cstheme="majorBidi" w:eastAsiaTheme="majorEastAsia" w:hAnsiTheme="majorHAnsi"/>
      <w:i/>
      <w:iCs/>
      <w:color w:themeColor="accent1" w:themeShade="7f" w:val="243F60"/>
    </w:rPr>
  </w:style>
  <w:style w:type="paragraph" w:styleId="Heading8">
    <w:name w:val="Heading 8"/>
    <w:basedOn w:val="Normal"/>
    <w:next w:val="Normal"/>
    <w:link w:val="Ttulo8Car"/>
    <w:uiPriority w:val="9"/>
    <w:semiHidden/>
    <w:unhideWhenUsed/>
    <w:qFormat/>
    <w:rsid w:val="00493996"/>
    <w:pPr>
      <w:keepNext w:val="true"/>
      <w:keepLines/>
      <w:spacing w:before="40" w:after="0"/>
      <w:outlineLvl w:val="7"/>
    </w:pPr>
    <w:rPr>
      <w:rFonts w:ascii="Cambria" w:hAnsi="Cambria" w:eastAsia="" w:cs="" w:asciiTheme="majorHAnsi" w:cstheme="majorBidi" w:eastAsiaTheme="majorEastAsia" w:hAnsiTheme="majorHAnsi"/>
      <w:color w:themeColor="text1" w:themeTint="d8" w:val="272727"/>
      <w:sz w:val="21"/>
      <w:szCs w:val="21"/>
    </w:rPr>
  </w:style>
  <w:style w:type="paragraph" w:styleId="Heading9">
    <w:name w:val="Heading 9"/>
    <w:basedOn w:val="Normal"/>
    <w:next w:val="Normal"/>
    <w:link w:val="Ttulo9Car"/>
    <w:uiPriority w:val="9"/>
    <w:semiHidden/>
    <w:unhideWhenUsed/>
    <w:qFormat/>
    <w:rsid w:val="00493996"/>
    <w:pPr>
      <w:keepNext w:val="true"/>
      <w:keepLines/>
      <w:spacing w:before="40" w:after="0"/>
      <w:outlineLvl w:val="8"/>
    </w:pPr>
    <w:rPr>
      <w:rFonts w:ascii="Cambria" w:hAnsi="Cambria" w:eastAsia="" w:cs="" w:asciiTheme="majorHAnsi" w:cstheme="majorBidi" w:eastAsiaTheme="majorEastAsia" w:hAnsiTheme="majorHAnsi"/>
      <w:i/>
      <w:iCs/>
      <w:color w:themeColor="text1" w:themeTint="d8" w:val="272727"/>
      <w:sz w:val="21"/>
      <w:szCs w:val="21"/>
    </w:rPr>
  </w:style>
  <w:style w:type="character" w:styleId="DefaultParagraphFont" w:default="1">
    <w:name w:val="Default Paragraph Font"/>
    <w:uiPriority w:val="1"/>
    <w:semiHidden/>
    <w:unhideWhenUsed/>
    <w:qFormat/>
    <w:rPr/>
  </w:style>
  <w:style w:type="character" w:styleId="EncabezadoCar" w:customStyle="1">
    <w:name w:val="Encabezado Car"/>
    <w:basedOn w:val="DefaultParagraphFont"/>
    <w:uiPriority w:val="99"/>
    <w:qFormat/>
    <w:rsid w:val="00962384"/>
    <w:rPr>
      <w:rFonts w:ascii="Palatino Linotype" w:hAnsi="Palatino Linotype" w:eastAsia="Palatino Linotype" w:cs="Palatino Linotype"/>
      <w:lang w:val="es-ES"/>
    </w:rPr>
  </w:style>
  <w:style w:type="character" w:styleId="PiedepginaCar" w:customStyle="1">
    <w:name w:val="Pie de página Car"/>
    <w:basedOn w:val="DefaultParagraphFont"/>
    <w:uiPriority w:val="99"/>
    <w:qFormat/>
    <w:rsid w:val="00962384"/>
    <w:rPr>
      <w:rFonts w:ascii="Palatino Linotype" w:hAnsi="Palatino Linotype" w:eastAsia="Palatino Linotype" w:cs="Palatino Linotype"/>
      <w:lang w:val="es-ES"/>
    </w:rPr>
  </w:style>
  <w:style w:type="character" w:styleId="BookTitle">
    <w:name w:val="Book Title"/>
    <w:basedOn w:val="DefaultParagraphFont"/>
    <w:uiPriority w:val="33"/>
    <w:qFormat/>
    <w:rsid w:val="00493996"/>
    <w:rPr>
      <w:b/>
      <w:bCs/>
      <w:i/>
      <w:iCs/>
      <w:spacing w:val="5"/>
    </w:rPr>
  </w:style>
  <w:style w:type="character" w:styleId="Emphasis">
    <w:name w:val="Emphasis"/>
    <w:basedOn w:val="DefaultParagraphFont"/>
    <w:uiPriority w:val="20"/>
    <w:qFormat/>
    <w:rsid w:val="00493996"/>
    <w:rPr>
      <w:i/>
      <w:iCs/>
    </w:rPr>
  </w:style>
  <w:style w:type="character" w:styleId="Ttulo4Car" w:customStyle="1">
    <w:name w:val="Título 4 Car"/>
    <w:basedOn w:val="DefaultParagraphFont"/>
    <w:uiPriority w:val="9"/>
    <w:semiHidden/>
    <w:qFormat/>
    <w:rsid w:val="00493996"/>
    <w:rPr>
      <w:rFonts w:ascii="Cambria" w:hAnsi="Cambria" w:eastAsia="" w:cs="" w:asciiTheme="majorHAnsi" w:cstheme="majorBidi" w:eastAsiaTheme="majorEastAsia" w:hAnsiTheme="majorHAnsi"/>
      <w:i/>
      <w:iCs/>
      <w:color w:themeColor="accent1" w:themeShade="bf" w:val="365F91"/>
      <w:lang w:val="es-ES"/>
    </w:rPr>
  </w:style>
  <w:style w:type="character" w:styleId="Ttulo5Car" w:customStyle="1">
    <w:name w:val="Título 5 Car"/>
    <w:basedOn w:val="DefaultParagraphFont"/>
    <w:uiPriority w:val="9"/>
    <w:semiHidden/>
    <w:qFormat/>
    <w:rsid w:val="00493996"/>
    <w:rPr>
      <w:rFonts w:ascii="Cambria" w:hAnsi="Cambria" w:eastAsia="" w:cs="" w:asciiTheme="majorHAnsi" w:cstheme="majorBidi" w:eastAsiaTheme="majorEastAsia" w:hAnsiTheme="majorHAnsi"/>
      <w:color w:themeColor="accent1" w:themeShade="bf" w:val="365F91"/>
      <w:lang w:val="es-ES"/>
    </w:rPr>
  </w:style>
  <w:style w:type="character" w:styleId="Ttulo6Car" w:customStyle="1">
    <w:name w:val="Título 6 Car"/>
    <w:basedOn w:val="DefaultParagraphFont"/>
    <w:uiPriority w:val="9"/>
    <w:semiHidden/>
    <w:qFormat/>
    <w:rsid w:val="00493996"/>
    <w:rPr>
      <w:rFonts w:ascii="Cambria" w:hAnsi="Cambria" w:eastAsia="" w:cs="" w:asciiTheme="majorHAnsi" w:cstheme="majorBidi" w:eastAsiaTheme="majorEastAsia" w:hAnsiTheme="majorHAnsi"/>
      <w:color w:themeColor="accent1" w:themeShade="7f" w:val="243F60"/>
      <w:lang w:val="es-ES"/>
    </w:rPr>
  </w:style>
  <w:style w:type="character" w:styleId="Ttulo7Car" w:customStyle="1">
    <w:name w:val="Título 7 Car"/>
    <w:basedOn w:val="DefaultParagraphFont"/>
    <w:uiPriority w:val="9"/>
    <w:semiHidden/>
    <w:qFormat/>
    <w:rsid w:val="00493996"/>
    <w:rPr>
      <w:rFonts w:ascii="Cambria" w:hAnsi="Cambria" w:eastAsia="" w:cs="" w:asciiTheme="majorHAnsi" w:cstheme="majorBidi" w:eastAsiaTheme="majorEastAsia" w:hAnsiTheme="majorHAnsi"/>
      <w:i/>
      <w:iCs/>
      <w:color w:themeColor="accent1" w:themeShade="7f" w:val="243F60"/>
      <w:lang w:val="es-ES"/>
    </w:rPr>
  </w:style>
  <w:style w:type="character" w:styleId="Ttulo8Car" w:customStyle="1">
    <w:name w:val="Título 8 Car"/>
    <w:basedOn w:val="DefaultParagraphFont"/>
    <w:uiPriority w:val="9"/>
    <w:semiHidden/>
    <w:qFormat/>
    <w:rsid w:val="00493996"/>
    <w:rPr>
      <w:rFonts w:ascii="Cambria" w:hAnsi="Cambria" w:eastAsia="" w:cs="" w:asciiTheme="majorHAnsi" w:cstheme="majorBidi" w:eastAsiaTheme="majorEastAsia" w:hAnsiTheme="majorHAnsi"/>
      <w:color w:themeColor="text1" w:themeTint="d8" w:val="272727"/>
      <w:sz w:val="21"/>
      <w:szCs w:val="21"/>
      <w:lang w:val="es-ES"/>
    </w:rPr>
  </w:style>
  <w:style w:type="character" w:styleId="Ttulo9Car" w:customStyle="1">
    <w:name w:val="Título 9 Car"/>
    <w:basedOn w:val="DefaultParagraphFont"/>
    <w:uiPriority w:val="9"/>
    <w:semiHidden/>
    <w:qFormat/>
    <w:rsid w:val="00493996"/>
    <w:rPr>
      <w:rFonts w:ascii="Cambria" w:hAnsi="Cambria" w:eastAsia="" w:cs="" w:asciiTheme="majorHAnsi" w:cstheme="majorBidi" w:eastAsiaTheme="majorEastAsia" w:hAnsiTheme="majorHAnsi"/>
      <w:i/>
      <w:iCs/>
      <w:color w:themeColor="text1" w:themeTint="d8" w:val="272727"/>
      <w:sz w:val="21"/>
      <w:szCs w:val="21"/>
      <w:lang w:val="es-ES"/>
    </w:rPr>
  </w:style>
  <w:style w:type="character" w:styleId="IntenseEmphasis">
    <w:name w:val="Intense Emphasis"/>
    <w:basedOn w:val="DefaultParagraphFont"/>
    <w:uiPriority w:val="21"/>
    <w:qFormat/>
    <w:rsid w:val="00493996"/>
    <w:rPr>
      <w:i/>
      <w:iCs/>
      <w:color w:themeColor="accent1" w:val="4F81BD"/>
    </w:rPr>
  </w:style>
  <w:style w:type="character" w:styleId="CitadestacadaCar" w:customStyle="1">
    <w:name w:val="Cita destacada Car"/>
    <w:basedOn w:val="DefaultParagraphFont"/>
    <w:link w:val="IntenseQuote"/>
    <w:uiPriority w:val="30"/>
    <w:qFormat/>
    <w:rsid w:val="00493996"/>
    <w:rPr>
      <w:rFonts w:ascii="Palatino Linotype" w:hAnsi="Palatino Linotype" w:eastAsia="Palatino Linotype" w:cs="Palatino Linotype"/>
      <w:i/>
      <w:iCs/>
      <w:color w:themeColor="accent1" w:val="4F81BD"/>
      <w:lang w:val="es-ES"/>
    </w:rPr>
  </w:style>
  <w:style w:type="character" w:styleId="IntenseReference">
    <w:name w:val="Intense Reference"/>
    <w:basedOn w:val="DefaultParagraphFont"/>
    <w:uiPriority w:val="32"/>
    <w:qFormat/>
    <w:rsid w:val="00493996"/>
    <w:rPr>
      <w:b/>
      <w:bCs/>
      <w:smallCaps/>
      <w:color w:themeColor="accent1" w:val="4F81BD"/>
      <w:spacing w:val="5"/>
    </w:rPr>
  </w:style>
  <w:style w:type="character" w:styleId="CitaCar" w:customStyle="1">
    <w:name w:val="Cita Car"/>
    <w:basedOn w:val="DefaultParagraphFont"/>
    <w:link w:val="Quote"/>
    <w:uiPriority w:val="29"/>
    <w:qFormat/>
    <w:rsid w:val="00493996"/>
    <w:rPr>
      <w:rFonts w:ascii="Palatino Linotype" w:hAnsi="Palatino Linotype" w:eastAsia="Palatino Linotype" w:cs="Palatino Linotype"/>
      <w:i/>
      <w:iCs/>
      <w:color w:themeColor="text1" w:themeTint="bf" w:val="404040"/>
      <w:lang w:val="es-ES"/>
    </w:rPr>
  </w:style>
  <w:style w:type="character" w:styleId="Strong">
    <w:name w:val="Strong"/>
    <w:basedOn w:val="DefaultParagraphFont"/>
    <w:uiPriority w:val="22"/>
    <w:qFormat/>
    <w:rsid w:val="00493996"/>
    <w:rPr>
      <w:b/>
      <w:bCs/>
    </w:rPr>
  </w:style>
  <w:style w:type="character" w:styleId="SubttuloCar" w:customStyle="1">
    <w:name w:val="Subtítulo Car"/>
    <w:basedOn w:val="DefaultParagraphFont"/>
    <w:uiPriority w:val="11"/>
    <w:qFormat/>
    <w:rsid w:val="00493996"/>
    <w:rPr>
      <w:rFonts w:eastAsia="" w:eastAsiaTheme="minorEastAsia"/>
      <w:color w:themeColor="text1" w:themeTint="a5" w:val="5A5A5A"/>
      <w:spacing w:val="15"/>
      <w:lang w:val="es-ES"/>
    </w:rPr>
  </w:style>
  <w:style w:type="character" w:styleId="SubtleEmphasis">
    <w:name w:val="Subtle Emphasis"/>
    <w:basedOn w:val="DefaultParagraphFont"/>
    <w:uiPriority w:val="19"/>
    <w:qFormat/>
    <w:rsid w:val="00493996"/>
    <w:rPr>
      <w:i/>
      <w:iCs/>
      <w:color w:themeColor="text1" w:themeTint="bf" w:val="404040"/>
    </w:rPr>
  </w:style>
  <w:style w:type="character" w:styleId="SubtleReference">
    <w:name w:val="Subtle Reference"/>
    <w:basedOn w:val="DefaultParagraphFont"/>
    <w:uiPriority w:val="31"/>
    <w:qFormat/>
    <w:rsid w:val="00493996"/>
    <w:rPr>
      <w:smallCaps/>
      <w:color w:themeColor="text1" w:themeTint="a5" w:val="5A5A5A"/>
    </w:rPr>
  </w:style>
  <w:style w:type="character" w:styleId="Hyperlink">
    <w:name w:val="Hyperlink"/>
    <w:basedOn w:val="DefaultParagraphFont"/>
    <w:uiPriority w:val="99"/>
    <w:unhideWhenUsed/>
    <w:rsid w:val="0060764f"/>
    <w:rPr>
      <w:color w:themeColor="hyperlink" w:val="0000FF"/>
      <w:u w:val="single"/>
    </w:rPr>
  </w:style>
  <w:style w:type="character" w:styleId="Enlacedelndice">
    <w:name w:val="Enlace del índice"/>
    <w:qFormat/>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uiPriority w:val="1"/>
    <w:qFormat/>
    <w:pPr/>
    <w:rPr>
      <w:i/>
      <w:iCs/>
    </w:rPr>
  </w:style>
  <w:style w:type="paragraph" w:styleId="List">
    <w:name w:val="List"/>
    <w:basedOn w:val="BodyText"/>
    <w:pPr/>
    <w:rPr>
      <w:rFonts w:cs="Noto Sans Devanagari"/>
    </w:rPr>
  </w:style>
  <w:style w:type="paragraph" w:styleId="Caption">
    <w:name w:val="Caption"/>
    <w:basedOn w:val="Normal"/>
    <w:next w:val="Normal"/>
    <w:uiPriority w:val="35"/>
    <w:semiHidden/>
    <w:unhideWhenUsed/>
    <w:qFormat/>
    <w:rsid w:val="00493996"/>
    <w:pPr>
      <w:spacing w:before="0" w:after="200"/>
    </w:pPr>
    <w:rPr>
      <w:i/>
      <w:iCs/>
      <w:color w:themeColor="text2" w:val="1F497D"/>
      <w:sz w:val="18"/>
      <w:szCs w:val="18"/>
    </w:rPr>
  </w:style>
  <w:style w:type="paragraph" w:styleId="ndice">
    <w:name w:val="Índice"/>
    <w:basedOn w:val="Normal"/>
    <w:qFormat/>
    <w:pPr>
      <w:suppressLineNumbers/>
    </w:pPr>
    <w:rPr>
      <w:rFonts w:cs="Noto Sans Devanagari"/>
    </w:rPr>
  </w:style>
  <w:style w:type="paragraph" w:styleId="TOC1">
    <w:name w:val="TOC 1"/>
    <w:basedOn w:val="Normal"/>
    <w:uiPriority w:val="39"/>
    <w:qFormat/>
    <w:pPr>
      <w:spacing w:before="312" w:after="0"/>
      <w:ind w:hanging="327" w:left="497"/>
    </w:pPr>
    <w:rPr>
      <w:b/>
      <w:bCs/>
    </w:rPr>
  </w:style>
  <w:style w:type="paragraph" w:styleId="TOC2">
    <w:name w:val="TOC 2"/>
    <w:basedOn w:val="Normal"/>
    <w:uiPriority w:val="39"/>
    <w:qFormat/>
    <w:pPr>
      <w:spacing w:before="94" w:after="0"/>
      <w:ind w:hanging="498" w:left="995"/>
    </w:pPr>
    <w:rPr/>
  </w:style>
  <w:style w:type="paragraph" w:styleId="TOC3">
    <w:name w:val="TOC 3"/>
    <w:basedOn w:val="Normal"/>
    <w:uiPriority w:val="39"/>
    <w:qFormat/>
    <w:pPr>
      <w:spacing w:before="94" w:after="0"/>
      <w:ind w:hanging="693" w:left="1692"/>
    </w:pPr>
    <w:rPr/>
  </w:style>
  <w:style w:type="paragraph" w:styleId="Title">
    <w:name w:val="Title"/>
    <w:basedOn w:val="Normal"/>
    <w:uiPriority w:val="10"/>
    <w:qFormat/>
    <w:pPr>
      <w:spacing w:before="1" w:after="0"/>
      <w:ind w:left="944" w:right="799"/>
      <w:jc w:val="center"/>
    </w:pPr>
    <w:rPr>
      <w:b/>
      <w:bCs/>
      <w:sz w:val="34"/>
      <w:szCs w:val="34"/>
    </w:rPr>
  </w:style>
  <w:style w:type="paragraph" w:styleId="ListParagraph">
    <w:name w:val="List Paragraph"/>
    <w:basedOn w:val="Normal"/>
    <w:uiPriority w:val="1"/>
    <w:qFormat/>
    <w:pPr>
      <w:spacing w:before="106" w:after="0"/>
      <w:ind w:hanging="208" w:left="378"/>
    </w:pPr>
    <w:rPr/>
  </w:style>
  <w:style w:type="paragraph" w:styleId="TableParagraph" w:customStyle="1">
    <w:name w:val="Table Paragraph"/>
    <w:basedOn w:val="Normal"/>
    <w:uiPriority w:val="1"/>
    <w:qFormat/>
    <w:pPr>
      <w:spacing w:lineRule="exact" w:line="249"/>
      <w:ind w:left="122"/>
    </w:pPr>
    <w:rPr/>
  </w:style>
  <w:style w:type="paragraph" w:styleId="Cabeceraypie">
    <w:name w:val="Cabecera y pie"/>
    <w:basedOn w:val="Normal"/>
    <w:qFormat/>
    <w:pPr/>
    <w:rPr/>
  </w:style>
  <w:style w:type="paragraph" w:styleId="Header">
    <w:name w:val="Header"/>
    <w:basedOn w:val="Normal"/>
    <w:link w:val="EncabezadoCar"/>
    <w:uiPriority w:val="99"/>
    <w:unhideWhenUsed/>
    <w:rsid w:val="00962384"/>
    <w:pPr>
      <w:tabs>
        <w:tab w:val="clear" w:pos="720"/>
        <w:tab w:val="center" w:pos="4252" w:leader="none"/>
        <w:tab w:val="right" w:pos="8504" w:leader="none"/>
      </w:tabs>
    </w:pPr>
    <w:rPr/>
  </w:style>
  <w:style w:type="paragraph" w:styleId="Footer">
    <w:name w:val="Footer"/>
    <w:basedOn w:val="Normal"/>
    <w:link w:val="PiedepginaCar"/>
    <w:uiPriority w:val="99"/>
    <w:unhideWhenUsed/>
    <w:rsid w:val="00962384"/>
    <w:pPr>
      <w:tabs>
        <w:tab w:val="clear" w:pos="720"/>
        <w:tab w:val="center" w:pos="4252" w:leader="none"/>
        <w:tab w:val="right" w:pos="8504" w:leader="none"/>
      </w:tabs>
    </w:pPr>
    <w:rPr/>
  </w:style>
  <w:style w:type="paragraph" w:styleId="IntenseQuote">
    <w:name w:val="Intense Quote"/>
    <w:basedOn w:val="Normal"/>
    <w:next w:val="Normal"/>
    <w:link w:val="CitadestacadaCar"/>
    <w:uiPriority w:val="30"/>
    <w:qFormat/>
    <w:rsid w:val="00493996"/>
    <w:pPr>
      <w:pBdr>
        <w:top w:val="single" w:sz="4" w:space="10" w:color="4F81BD" w:themeColor="accent1"/>
        <w:bottom w:val="single" w:sz="4" w:space="10" w:color="4F81BD" w:themeColor="accent1"/>
      </w:pBdr>
      <w:spacing w:before="360" w:after="360"/>
      <w:ind w:left="864" w:right="864"/>
      <w:jc w:val="center"/>
    </w:pPr>
    <w:rPr>
      <w:i/>
      <w:iCs/>
      <w:color w:themeColor="accent1" w:val="4F81BD"/>
    </w:rPr>
  </w:style>
  <w:style w:type="paragraph" w:styleId="NoSpacing">
    <w:name w:val="No Spacing"/>
    <w:uiPriority w:val="1"/>
    <w:qFormat/>
    <w:rsid w:val="00493996"/>
    <w:pPr>
      <w:widowControl w:val="false"/>
      <w:suppressAutoHyphens w:val="true"/>
      <w:bidi w:val="0"/>
      <w:spacing w:before="0" w:after="0"/>
      <w:jc w:val="left"/>
    </w:pPr>
    <w:rPr>
      <w:rFonts w:ascii="Palatino Linotype" w:hAnsi="Palatino Linotype" w:eastAsia="Palatino Linotype" w:cs="Palatino Linotype"/>
      <w:color w:val="auto"/>
      <w:kern w:val="0"/>
      <w:sz w:val="22"/>
      <w:szCs w:val="22"/>
      <w:lang w:val="es-ES" w:eastAsia="en-US" w:bidi="ar-SA"/>
    </w:rPr>
  </w:style>
  <w:style w:type="paragraph" w:styleId="Quote">
    <w:name w:val="Quote"/>
    <w:basedOn w:val="Normal"/>
    <w:next w:val="Normal"/>
    <w:link w:val="CitaCar"/>
    <w:uiPriority w:val="29"/>
    <w:qFormat/>
    <w:rsid w:val="00493996"/>
    <w:pPr>
      <w:spacing w:before="200" w:after="160"/>
      <w:ind w:left="864" w:right="864"/>
      <w:jc w:val="center"/>
    </w:pPr>
    <w:rPr>
      <w:i/>
      <w:iCs/>
      <w:color w:themeColor="text1" w:themeTint="bf" w:val="404040"/>
    </w:rPr>
  </w:style>
  <w:style w:type="paragraph" w:styleId="Subtitle">
    <w:name w:val="Subtitle"/>
    <w:basedOn w:val="Normal"/>
    <w:next w:val="Normal"/>
    <w:link w:val="SubttuloCar"/>
    <w:uiPriority w:val="11"/>
    <w:qFormat/>
    <w:rsid w:val="00493996"/>
    <w:pPr>
      <w:spacing w:before="0" w:after="160"/>
    </w:pPr>
    <w:rPr>
      <w:rFonts w:ascii="Calibri" w:hAnsi="Calibri" w:eastAsia="" w:cs="" w:asciiTheme="minorHAnsi" w:cstheme="minorBidi" w:eastAsiaTheme="minorEastAsia" w:hAnsiTheme="minorHAnsi"/>
      <w:color w:themeColor="text1" w:themeTint="a5" w:val="5A5A5A"/>
      <w:spacing w:val="15"/>
    </w:rPr>
  </w:style>
  <w:style w:type="paragraph" w:styleId="IndexHeading">
    <w:name w:val="Index Heading"/>
    <w:basedOn w:val="Ttulo"/>
    <w:pPr/>
    <w:rPr/>
  </w:style>
  <w:style w:type="paragraph" w:styleId="TOCHeading">
    <w:name w:val="TOC Heading"/>
    <w:basedOn w:val="Heading1"/>
    <w:next w:val="Normal"/>
    <w:uiPriority w:val="39"/>
    <w:semiHidden/>
    <w:unhideWhenUsed/>
    <w:qFormat/>
    <w:rsid w:val="00493996"/>
    <w:pPr>
      <w:keepNext w:val="true"/>
      <w:keepLines/>
      <w:spacing w:before="240" w:after="0"/>
      <w:ind w:hanging="0" w:left="0"/>
      <w:outlineLvl w:val="9"/>
    </w:pPr>
    <w:rPr>
      <w:rFonts w:ascii="Cambria" w:hAnsi="Cambria" w:eastAsia="" w:cs="" w:asciiTheme="majorHAnsi" w:cstheme="majorBidi" w:eastAsiaTheme="majorEastAsia" w:hAnsiTheme="majorHAnsi"/>
      <w:b w:val="false"/>
      <w:bCs w:val="false"/>
      <w:color w:themeColor="accent1" w:themeShade="bf" w:val="365F91"/>
      <w:sz w:val="32"/>
      <w:szCs w:val="32"/>
      <w:u w:val="none" w:color="000000"/>
    </w:rPr>
  </w:style>
  <w:style w:type="paragraph" w:styleId="Cabeceraizquierda">
    <w:name w:val="Cabecera izquierda"/>
    <w:basedOn w:val="Header"/>
    <w:qFormat/>
    <w:pPr/>
    <w:rPr/>
  </w:style>
  <w:style w:type="numbering" w:styleId="Ningunalista" w:default="1">
    <w:name w:val="Ninguna lista"/>
    <w:uiPriority w:val="99"/>
    <w:semiHidden/>
    <w:unhideWhenUsed/>
    <w:qFormat/>
  </w:style>
  <w:style w:type="table" w:default="1" w:styleId="Tabla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mailto:correo@dominio.edu.ar" TargetMode="External"/><Relationship Id="rId4" Type="http://schemas.openxmlformats.org/officeDocument/2006/relationships/header" Target="header1.xml"/><Relationship Id="rId5" Type="http://schemas.openxmlformats.org/officeDocument/2006/relationships/header" Target="header2.xml"/><Relationship Id="rId6" Type="http://schemas.openxmlformats.org/officeDocument/2006/relationships/header" Target="header3.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header" Target="header4.xml"/><Relationship Id="rId19" Type="http://schemas.openxmlformats.org/officeDocument/2006/relationships/header" Target="header5.xml"/><Relationship Id="rId20" Type="http://schemas.openxmlformats.org/officeDocument/2006/relationships/footer" Target="footer4.xml"/><Relationship Id="rId21" Type="http://schemas.openxmlformats.org/officeDocument/2006/relationships/footer" Target="footer5.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Relationship Id="rId27" Type="http://schemas.openxmlformats.org/officeDocument/2006/relationships/customXml" Target="../customXml/item2.xml"/><Relationship Id="rId28" Type="http://schemas.openxmlformats.org/officeDocument/2006/relationships/customXml" Target="../customXml/item3.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5af6e66d-d4a6-4409-b3f2-9172cbc29d4b" xsi:nil="true"/>
    <lcf76f155ced4ddcb4097134ff3c332f xmlns="e207eda7-c60a-4298-ac2b-86dd5bc7ae7a">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DF98D95B3C7764478220B4640544549A" ma:contentTypeVersion="12" ma:contentTypeDescription="Create a new document." ma:contentTypeScope="" ma:versionID="fdd2da79dca7eceea7526dc50efcfcf0">
  <xsd:schema xmlns:xsd="http://www.w3.org/2001/XMLSchema" xmlns:xs="http://www.w3.org/2001/XMLSchema" xmlns:p="http://schemas.microsoft.com/office/2006/metadata/properties" xmlns:ns2="e207eda7-c60a-4298-ac2b-86dd5bc7ae7a" xmlns:ns3="5af6e66d-d4a6-4409-b3f2-9172cbc29d4b" targetNamespace="http://schemas.microsoft.com/office/2006/metadata/properties" ma:root="true" ma:fieldsID="4881c84358a8dc26e9e0ecb88e466808" ns2:_="" ns3:_="">
    <xsd:import namespace="e207eda7-c60a-4298-ac2b-86dd5bc7ae7a"/>
    <xsd:import namespace="5af6e66d-d4a6-4409-b3f2-9172cbc29d4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207eda7-c60a-4298-ac2b-86dd5bc7ae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76f62536-3a25-4b8a-9b5d-7e17d0b0464e"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af6e66d-d4a6-4409-b3f2-9172cbc29d4b"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93b6336c-0b27-46de-820e-856c14d1331c}" ma:internalName="TaxCatchAll" ma:showField="CatchAllData" ma:web="5af6e66d-d4a6-4409-b3f2-9172cbc29d4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B22AB04D-01F1-4735-915C-9B50FA1BABFA}">
  <ds:schemaRefs>
    <ds:schemaRef ds:uri="http://schemas.microsoft.com/office/2006/metadata/properties"/>
    <ds:schemaRef ds:uri="http://schemas.microsoft.com/office/infopath/2007/PartnerControls"/>
    <ds:schemaRef ds:uri="5af6e66d-d4a6-4409-b3f2-9172cbc29d4b"/>
    <ds:schemaRef ds:uri="e207eda7-c60a-4298-ac2b-86dd5bc7ae7a"/>
  </ds:schemaRefs>
</ds:datastoreItem>
</file>

<file path=customXml/itemProps2.xml><?xml version="1.0" encoding="utf-8"?>
<ds:datastoreItem xmlns:ds="http://schemas.openxmlformats.org/officeDocument/2006/customXml" ds:itemID="{A68CBFD7-730D-4807-A8FE-650171BDBED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207eda7-c60a-4298-ac2b-86dd5bc7ae7a"/>
    <ds:schemaRef ds:uri="5af6e66d-d4a6-4409-b3f2-9172cbc29d4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A27E39EF-5F9F-4408-87A3-863B9FBA3BA0}">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Application>LibreOffice/24.2.7.2$Linux_X86_64 LibreOffice_project/420$Build-2</Application>
  <AppVersion>15.0000</AppVersion>
  <Pages>20</Pages>
  <Words>7186</Words>
  <Characters>35958</Characters>
  <CharactersWithSpaces>42624</CharactersWithSpaces>
  <Paragraphs>481</Paragraphs>
  <Company>Ford Motor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2026-05-28T18:24:00Z</dcterms:created>
  <dc:creator/>
  <dc:description/>
  <dc:language>es-AR</dc:language>
  <cp:lastModifiedBy/>
  <dcterms:modified xsi:type="dcterms:W3CDTF">2026-10-01T11:47:16Z</dcterms:modified>
  <cp:revision>15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0x010100DF98D95B3C7764478220B4640544549A</vt:lpwstr>
  </property>
  <property fmtid="{D5CDD505-2E9C-101B-9397-08002B2CF9AE}" pid="3" name="Created">
    <vt:filetime>2026-05-28T00:00:00Z</vt:filetime>
  </property>
  <property fmtid="{D5CDD505-2E9C-101B-9397-08002B2CF9AE}" pid="4" name="Creator">
    <vt:lpwstr>LaTeX with hyperref</vt:lpwstr>
  </property>
  <property fmtid="{D5CDD505-2E9C-101B-9397-08002B2CF9AE}" pid="5" name="LastSaved">
    <vt:filetime>2026-05-28T00:00:00Z</vt:filetime>
  </property>
  <property fmtid="{D5CDD505-2E9C-101B-9397-08002B2CF9AE}" pid="6" name="MediaServiceImageTags">
    <vt:lpwstr/>
  </property>
  <property fmtid="{D5CDD505-2E9C-101B-9397-08002B2CF9AE}" pid="7" name="PTEX.Fullbanner">
    <vt:lpwstr>This is pdfTeX, Version 3.141592653-2.6-1.40.27 (TeX Live 2025) kpathsea version 6.4.1</vt:lpwstr>
  </property>
  <property fmtid="{D5CDD505-2E9C-101B-9397-08002B2CF9AE}" pid="8" name="Producer">
    <vt:lpwstr>pdfTeX-1.40.27</vt:lpwstr>
  </property>
</Properties>
</file>