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Piso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Pasillos: 87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Mini Racks:7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Cámaras: 14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Habitacion 1: 87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Habitacion 2: 45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Habitacion 3: 75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Habitacion 4: 51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Habitacion 5: 77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Habitacion 6: 89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Habitacion 7: 73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Piso 2: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Pasillos: 131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Mini Racks: 7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Cámaras: 14</w:t>
        <w:br w:type="textWrapping"/>
        <w:t xml:space="preserve">Servidor: 11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Habitacion 8: 90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Habitacion 9: 128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Habitacion 10: 60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Habitacion 11: 113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Habitacion 12: 74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Habitacion 13: 122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Habitacion 14: 126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Piso 3: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Pasillos: 227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Mini Racks: 7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Cámaras: 14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Habitacion 15: 101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Habitacion 16: 90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Habitacion 17: 157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Habitacion 18: 144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Habitacion 19: 103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Habitacion 20: 119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Habitacion 21: 120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