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b/>
          <w:bCs/>
          <w:color w:val="0F766E"/>
          <w:sz w:val="40"/>
          <w:szCs w:val="40"/>
        </w:rPr>
        <w:t xml:space="preserve">Guion de presentación oral</w:t>
      </w:r>
    </w:p>
    <w:p>
      <w:pPr>
        <w:jc w:val="center"/>
      </w:pPr>
      <w:r>
        <w:rPr>
          <w:b/>
          <w:bCs/>
          <w:sz w:val="30"/>
          <w:szCs w:val="30"/>
        </w:rPr>
        <w:t xml:space="preserve">Base de datos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Hospital Argentino · Sistema de Gestión de Turnos y Recepción</w:t>
      </w:r>
    </w:p>
    <w:p>
      <w:pPr>
        <w:spacing w:after="120" w:before="60"/>
      </w:pPr>
      <w:r>
        <w:rPr>
          <w:i/>
          <w:iCs/>
          <w:color w:val="666666"/>
        </w:rPr>
        <w:t xml:space="preserve">Este guion cubre la parte de base de datos. La introducción se apoya en el documento de Relevamiento (objetivo, límite y alcance). Cada sección indica qué mostrar en pantalla y el texto para hablar. Orden sugerido: modelo de datos → diccionario y tablas → API (Swagger).</w:t>
      </w:r>
    </w:p>
    <w:p>
      <w:pPr>
        <w:pStyle w:val="Heading1"/>
      </w:pPr>
      <w:r>
        <w:t xml:space="preserve">0. Transición desde la introducción</w:t>
      </w:r>
    </w:p>
    <w:p>
      <w:pPr>
        <w:spacing w:after="120" w:before="60"/>
      </w:pPr>
      <w:r>
        <w:rPr>
          <w:i/>
          <w:iCs/>
          <w:color w:val="666666"/>
        </w:rPr>
        <w:t xml:space="preserve">(Después de presentar objetivo, límite y alcance.)</w:t>
      </w:r>
    </w:p>
    <w:p>
      <w:pPr>
        <w:spacing w:after="120"/>
      </w:pPr>
      <w:r>
        <w:t xml:space="preserve">“Habiendo visto el objetivo y el alcance del sistema, pasamos ahora a la parte técnica: cómo modelamos y guardamos la información. Vamos a mostrar el modelo de datos, el diccionario de datos con el detalle de cada tabla, y por último la API con la que la aplicación se comunica con la base.”</w:t>
      </w:r>
    </w:p>
    <w:p>
      <w:pPr>
        <w:pStyle w:val="Heading1"/>
      </w:pPr>
      <w:r>
        <w:t xml:space="preserve">1. Modelo de datos — Diagrama de Reverse Engineer</w:t>
      </w:r>
    </w:p>
    <w:p>
      <w:pPr>
        <w:pBdr>
          <w:left w:val="single" w:color="0F766E" w:sz="18" w:space="8"/>
        </w:pBdr>
        <w:shd w:fill="E1F5EE" w:val="clear"/>
        <w:spacing w:after="120" w:before="60"/>
      </w:pPr>
      <w:r>
        <w:rPr>
          <w:b/>
          <w:bCs/>
          <w:color w:val="0F766E"/>
        </w:rPr>
        <w:t xml:space="preserve">En pantalla:  </w:t>
      </w:r>
      <w:r>
        <w:rPr>
          <w:i/>
          <w:iCs/>
          <w:color w:val="0F766E"/>
        </w:rPr>
        <w:t xml:space="preserve">La pestaña EER Diagram de MySQL Workbench con las 14 tablas.</w:t>
      </w:r>
    </w:p>
    <w:p>
      <w:pPr>
        <w:spacing w:after="120"/>
      </w:pPr>
      <w:r>
        <w:t xml:space="preserve">“Este es el modelo físico de la base, obtenido con la ingeniería inversa de MySQL Workbench sobre la base real. La base se llama gestion_turnos y está compuesta por 14 tablas, todas con motor InnoDB, lo que nos garantiza integridad referencial mediante claves foráneas y soporte de transacciones.”</w:t>
      </w:r>
    </w:p>
    <w:p>
      <w:pPr>
        <w:spacing w:after="120"/>
      </w:pPr>
      <w:r>
        <w:t xml:space="preserve">“Organizamos las tablas en tres grupos:”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Tablas maestras:</w:t>
      </w:r>
      <w:r>
        <w:rPr>
          <w:b w:val="false"/>
          <w:bCs w:val="false"/>
        </w:rPr>
        <w:t xml:space="preserve"> guardan datos estáticos y no dependen de otras. Por ejemplo obras_sociales, especialidades, medicos, recepcionistas y estados_turnos.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Tablas de asociación y dependencia:</w:t>
      </w:r>
      <w:r>
        <w:rPr>
          <w:b w:val="false"/>
          <w:bCs w:val="false"/>
        </w:rPr>
        <w:t xml:space="preserve"> cruzan datos de las maestras para crear la lógica de negocio: medicos_especialidades, disponibilidades_horarias, aranceles y practicas.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Tablas transaccionales:</w:t>
      </w:r>
      <w:r>
        <w:rPr>
          <w:b w:val="false"/>
          <w:bCs w:val="false"/>
        </w:rPr>
        <w:t xml:space="preserve"> registran el movimiento diario: turnos, recordatorios, facturas_cabecera y facturas_detalle.</w:t>
      </w:r>
    </w:p>
    <w:p>
      <w:pPr>
        <w:spacing w:after="120"/>
      </w:pPr>
      <w:r>
        <w:t xml:space="preserve">“Siguiendo las líneas de relación se ve el circuito completo: un paciente puede tener una obra social; saca un turno con un médico en una especialidad determinada; ese turno tiene un estado, genera un recordatorio y da lugar a una factura.”</w:t>
      </w:r>
    </w:p>
    <w:p>
      <w:pPr>
        <w:spacing w:after="80" w:before="60"/>
      </w:pPr>
      <w:r>
        <w:rPr>
          <w:b/>
          <w:bCs/>
        </w:rPr>
        <w:t xml:space="preserve">Para destacar mientras se recorre el diagrama: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La relación médico–especialidad es de muchos a muchos, por eso existe la tabla intermedia medicos_especialidades.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turnos apunta a medicos_especialidades, para dejar unívoco el médico y su especialidad en cada turno.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La factura está normalizada en facturas_cabecera y facturas_detalle (uno a muchos): una factura tiene muchos renglones de detalle.</w:t>
      </w:r>
    </w:p>
    <w:p>
      <w:pPr>
        <w:pStyle w:val="Heading1"/>
      </w:pPr>
      <w:r>
        <w:t xml:space="preserve">2. Diccionario de datos</w:t>
      </w:r>
    </w:p>
    <w:p>
      <w:pPr>
        <w:pBdr>
          <w:left w:val="single" w:color="0F766E" w:sz="18" w:space="8"/>
        </w:pBdr>
        <w:shd w:fill="E1F5EE" w:val="clear"/>
        <w:spacing w:after="120" w:before="60"/>
      </w:pPr>
      <w:r>
        <w:rPr>
          <w:b/>
          <w:bCs/>
          <w:color w:val="0F766E"/>
        </w:rPr>
        <w:t xml:space="preserve">En pantalla:  </w:t>
      </w:r>
      <w:r>
        <w:rPr>
          <w:i/>
          <w:iCs/>
          <w:color w:val="0F766E"/>
        </w:rPr>
        <w:t xml:space="preserve">Sección “Diccionario de datos” del documento de Relevamiento.</w:t>
      </w:r>
    </w:p>
    <w:p>
      <w:pPr>
        <w:spacing w:after="120"/>
      </w:pPr>
      <w:r>
        <w:t xml:space="preserve">“El diccionario de datos es la lista que describe cada entidad y sus atributos, junto con las reglas que deben cumplir. Usamos una notación donde el símbolo @ indica la clave primaria y (fk) una clave foránea.”</w:t>
      </w:r>
    </w:p>
    <w:p>
      <w:pPr>
        <w:spacing w:after="120"/>
      </w:pPr>
      <w:r>
        <w:t xml:space="preserve">“Por ejemplo, la entidad Paciente se define como su identificador, apellido, nombre, domicilio, mail, teléfono, tipo y número de documento, y una referencia a la obra social. Y Turno se compone del paciente, el médico-especialidad, la fecha, la hora, el estado y el motivo de consulta.”</w:t>
      </w:r>
    </w:p>
    <w:p>
      <w:pPr>
        <w:spacing w:after="120"/>
      </w:pPr>
      <w:r>
        <w:t xml:space="preserve">“El diccionario fue el puente entre el análisis y la implementación: de acá salieron directamente las tablas de la base.”</w:t>
      </w:r>
    </w:p>
    <w:p>
      <w:pPr>
        <w:pStyle w:val="Heading1"/>
      </w:pPr>
      <w:r>
        <w:t xml:space="preserve">3. Detalle de las tablas</w:t>
      </w:r>
    </w:p>
    <w:p>
      <w:pPr>
        <w:pBdr>
          <w:left w:val="single" w:color="0F766E" w:sz="18" w:space="8"/>
        </w:pBdr>
        <w:shd w:fill="E1F5EE" w:val="clear"/>
        <w:spacing w:after="120" w:before="60"/>
      </w:pPr>
      <w:r>
        <w:rPr>
          <w:b/>
          <w:bCs/>
          <w:color w:val="0F766E"/>
        </w:rPr>
        <w:t xml:space="preserve">En pantalla:  </w:t>
      </w:r>
      <w:r>
        <w:rPr>
          <w:i/>
          <w:iCs/>
          <w:color w:val="0F766E"/>
        </w:rPr>
        <w:t xml:space="preserve">Sección “Detalle de tablas” del documento de Relevamiento.</w:t>
      </w:r>
    </w:p>
    <w:p>
      <w:pPr>
        <w:spacing w:after="120"/>
      </w:pPr>
      <w:r>
        <w:t xml:space="preserve">“Para cada tabla documentamos sus campos con el tipo de dato, si es clave primaria o foránea, y una breve descripción. Algunos puntos destacados:”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Claves y unicidad:</w:t>
      </w:r>
      <w:r>
        <w:rPr>
          <w:b w:val="false"/>
          <w:bCs w:val="false"/>
        </w:rPr>
        <w:t xml:space="preserve"> cada tabla tiene su clave primaria autoincremental, y usamos restricciones UNIQUE donde corresponde, por ejemplo la matrícula del médico o el legajo del recepcionista.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Tipos apropiados:</w:t>
      </w:r>
      <w:r>
        <w:rPr>
          <w:b w:val="false"/>
          <w:bCs w:val="false"/>
        </w:rPr>
        <w:t xml:space="preserve"> fechas con DATE, horas con TIME, importes con DECIMAL(10,2) y ENUM para valores acotados como el tipo de documento o el estado del recordatorio.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Paciente particular:</w:t>
      </w:r>
      <w:r>
        <w:rPr>
          <w:b w:val="false"/>
          <w:bCs w:val="false"/>
        </w:rPr>
        <w:t xml:space="preserve"> el campo IdObraSocial admite valor nulo, que representa a un paciente particular, sin cobertura.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Disponibilidad horaria:</w:t>
      </w:r>
      <w:r>
        <w:rPr>
          <w:b w:val="false"/>
          <w:bCs w:val="false"/>
        </w:rPr>
        <w:t xml:space="preserve"> guardamos solo la franja (hora desde / hora hasta) de cada médico; los horarios libres se calculan restando los turnos ya reservados.</w:t>
      </w:r>
    </w:p>
    <w:p>
      <w:pPr>
        <w:pStyle w:val="Heading1"/>
      </w:pPr>
      <w:r>
        <w:t xml:space="preserve">4. La API — Swagger</w:t>
      </w:r>
    </w:p>
    <w:p>
      <w:pPr>
        <w:pBdr>
          <w:left w:val="single" w:color="0F766E" w:sz="18" w:space="8"/>
        </w:pBdr>
        <w:shd w:fill="E1F5EE" w:val="clear"/>
        <w:spacing w:after="120" w:before="60"/>
      </w:pPr>
      <w:r>
        <w:rPr>
          <w:b/>
          <w:bCs/>
          <w:color w:val="0F766E"/>
        </w:rPr>
        <w:t xml:space="preserve">En pantalla:  </w:t>
      </w:r>
      <w:r>
        <w:rPr>
          <w:i/>
          <w:iCs/>
          <w:color w:val="0F766E"/>
        </w:rPr>
        <w:t xml:space="preserve">La interfaz de Swagger en el navegador: localhost:5079/swagger.</w:t>
      </w:r>
    </w:p>
    <w:p>
      <w:pPr>
        <w:spacing w:after="120"/>
      </w:pPr>
      <w:r>
        <w:t xml:space="preserve">“Para que la aplicación acceda a la base construimos una API REST, documentada automáticamente con Swagger. Cada grupo de endpoints corresponde a una entidad del sistema.”</w:t>
      </w:r>
    </w:p>
    <w:p>
      <w:pPr>
        <w:spacing w:after="120"/>
      </w:pPr>
      <w:r>
        <w:t xml:space="preserve">“Los que más usamos en el módulo de recepción son:”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GET /api/Turnos/Especialidades — lista las especialidades.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GET /api/Turnos/MedicosPorEspecialidad/{id} — los médicos de una especialidad.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GET /api/Turnos/Disponibilidad/{idMedico}/{fecha} — calcula los horarios disponibles de un médico en una fecha, en intervalos de 30 minutos, descontando los turnos ya reservados.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POST /api/Turnos — reserva el turno y, en la misma operación, genera el recordatorio programado 24 horas antes.</w:t>
      </w:r>
    </w:p>
    <w:p>
      <w:pPr>
        <w:spacing w:after="120"/>
      </w:pPr>
      <w:r>
        <w:t xml:space="preserve">“Podemos hacer un Try it out en vivo para mostrar cómo la API devuelve los horarios disponibles, y cómo al reservar uno ese horario deja de aparecer.”</w:t>
      </w:r>
    </w:p>
    <w:p>
      <w:pPr>
        <w:pStyle w:val="Heading1"/>
      </w:pPr>
      <w:r>
        <w:t xml:space="preserve">5. Puntos adicionales (correcciones y decisiones de diseño)</w:t>
      </w:r>
    </w:p>
    <w:p>
      <w:pPr>
        <w:spacing w:after="120" w:before="60"/>
      </w:pPr>
      <w:r>
        <w:rPr>
          <w:i/>
          <w:iCs/>
          <w:color w:val="666666"/>
        </w:rPr>
        <w:t xml:space="preserve">Estos refuerzan que el trabajo fue corregido y llevado a la realidad.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Factura normalizada (C3):</w:t>
      </w:r>
      <w:r>
        <w:rPr>
          <w:b w:val="false"/>
          <w:bCs w:val="false"/>
        </w:rPr>
        <w:t xml:space="preserve"> la separamos en cabecera (número, tipo, fecha, total, medio de pago) y detalle (cada práctica con cantidad y precio). Evita repetir datos y permite desglosar el comprobante.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Tabla de prácticas (C4):</w:t>
      </w:r>
      <w:r>
        <w:rPr>
          <w:b w:val="false"/>
          <w:bCs w:val="false"/>
        </w:rPr>
        <w:t xml:space="preserve"> en la realidad no se factura solo la consulta; un traumatólogo puede facturar consulta, radiografía y yeso. Cada renglón del detalle referencia una práctica.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Obra social completa (C5a):</w:t>
      </w:r>
      <w:r>
        <w:rPr>
          <w:b w:val="false"/>
          <w:bCs w:val="false"/>
        </w:rPr>
        <w:t xml:space="preserve"> sumamos CUIT, domicilio y condición frente al IVA, necesarios para facturar.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Convención de nombres (C5b):</w:t>
      </w:r>
      <w:r>
        <w:rPr>
          <w:b w:val="false"/>
          <w:bCs w:val="false"/>
        </w:rPr>
        <w:t xml:space="preserve"> todas las tablas en plural y sin tildes ni caracteres especiales, por buenas prácticas y portabilidad.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Codificación utf8mb4:</w:t>
      </w:r>
      <w:r>
        <w:rPr>
          <w:b w:val="false"/>
          <w:bCs w:val="false"/>
        </w:rPr>
        <w:t xml:space="preserve"> para soportar correctamente acentos y caracteres especiales.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Recordatorios:</w:t>
      </w:r>
      <w:r>
        <w:rPr>
          <w:b w:val="false"/>
          <w:bCs w:val="false"/>
        </w:rPr>
        <w:t xml:space="preserve"> cada turno genera automáticamente un recordatorio 24 horas antes, pensado para envío por WhatsApp.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Escalabilidad:</w:t>
      </w:r>
      <w:r>
        <w:rPr>
          <w:b w:val="false"/>
          <w:bCs w:val="false"/>
        </w:rPr>
        <w:t xml:space="preserve"> sumar una especialización a un médico es agregar una fila en medicos_especialidades; incorporar prácticas es cargar filas en practicas, sin tocar la estructura.</w:t>
      </w:r>
    </w:p>
    <w:p>
      <w:pPr>
        <w:pStyle w:val="Heading1"/>
      </w:pPr>
      <w:r>
        <w:t xml:space="preserve">6. Cierre de la parte de base de datos</w:t>
      </w:r>
    </w:p>
    <w:p>
      <w:pPr>
        <w:spacing w:after="120"/>
      </w:pPr>
      <w:r>
        <w:t xml:space="preserve">“En resumen, la base de datos está normalizada, respeta la integridad referencial, contempla las correcciones que nos marcaron y modela el circuito real de la clínica: desde el pedido del turno hasta la facturación de la atención. Sobre esta base se apoya toda la aplicación.”</w:t>
      </w:r>
    </w:p>
    <w:p>
      <w:pPr>
        <w:pStyle w:val="Heading1"/>
      </w:pPr>
      <w:r>
        <w:t xml:space="preserve">Orden sugerido de pantallas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Workbench — diagrama EER (modelo completo).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Documento de Relevamiento — diccionario de datos y detalle de tablas.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Navegador — Swagger (API) y, si se quiere, la app funcionando.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F76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2026-07-07T21:29:04.954Z</dcterms:created>
  <dcterms:modified xsi:type="dcterms:W3CDTF">2026-07-07T21:29:04.957Z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