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Meridian Alpha Partners Fund, L.P.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Private Placement Memorandum — Excerpt: Liquidity Terms</w:t>
      </w:r>
    </w:p>
    <w:p>
      <w:pPr>
        <w:pBdr>
          <w:bottom w:val="single" w:color="9C7A32" w:sz="6" w:space="8"/>
        </w:pBdr>
        <w:spacing w:after="200"/>
      </w:pPr>
      <w:r>
        <w:rPr>
          <w:rFonts w:ascii="Calibri" w:cs="Calibri" w:eastAsia="Calibri" w:hAnsi="Calibri"/>
          <w:i/>
          <w:iCs/>
          <w:color w:val="B00020"/>
          <w:sz w:val="18"/>
          <w:szCs w:val="18"/>
        </w:rPr>
        <w:t xml:space="preserve">Prepared March 2026  |  For Illustrative / Demo Purposes Only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Fund Overview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Meridian Alpha Partners Fund, L.P. (the “Fund”) is a Cayman Islands-domiciled, long/short equity hedge fund pursuing a global, sector-agnostic strategy with a focus on developed-market technology, industrials, and healthcare names. The Fund is managed by Meridian Capital Management LLP (the “Investment Manager”).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Liquidity Terms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2.1 Lock-Up Period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Each investor is subject to an initial hard lock-up of 12 months from the date of their subscription (the “Lock-Up Period”). No withdrawals are permitted during the Lock-Up Period, including in the event of manager-level gating.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2.2 Redemption Notice and Frequency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Following expiry of the Lock-Up Period, investors may redeem on a quarterly basis, subject to 90 calendar days' prior written notice to the Administrator. Redemption requests received after the notice deadline will be held over to the next available redemption date.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2.3 Redemption Holdback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5% of redemption proceeds are held back and paid following completion of the Fund's annual audit, typically within 90 days of the Fund's fiscal year-end, to account for year-end valuation adjustments.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2.4 Gates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Investment Manager may impose an investor-level gate limiting any single investor's redemption to 25% of their capital account in a single quarter, and a fund-level gate limiting aggregate redemptions across all investors to 15% of Fund net asset value in any single quarter. Amounts gated are carried forward to the next redemption date on a pro-rata basis with other redemption requests.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2.5 Side Pockets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Investment Manager may allocate up to 15% of the Fund's net asset value to a side pocket for investments deemed illiquid or difficult to value (e.g., private placements, restricted securities, or distressed positions). Investors in the Fund at the time of a side pocket designation participate pro-rata and cannot redeem their side pocket interest until the underlying investment is realized or the Investment Manager elects to release it back into the main portfolio.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2.6 Suspension of Redemptions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Board of Directors may suspend redemptions in extraordinary circumstances, including but not limited to a suspension of trading on a primary exchange for the Fund's investments, or circumstances that would make it impracticable to determine the Fund's net asset value.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Summary Table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000"/>
      </w:tblGrid>
      <w:tr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Lock-up period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months (hard)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Redemption frequency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Redemption notice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90 calendar days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Holdback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5%, released post-audit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Investor-level gate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25% of capital account / quarter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Fund-level gate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15% of Fund NAV / quarter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Side pocket capacity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 to 15% of Fund NAV</w:t>
            </w:r>
          </w:p>
        </w:tc>
      </w:tr>
    </w:tbl>
    <w:p>
      <w:pPr>
        <w:pBdr>
          <w:top w:val="single" w:color="CCCCCC" w:sz="4" w:space="8"/>
        </w:pBdr>
        <w:spacing w:before="300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This document is a simplified, fictional sample created for demonstration purposes only. It does not represent an actual fund, offering, or investment recommendation.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2026-09-07T11:58:01.049Z</dcterms:created>
  <dcterms:modified xsi:type="dcterms:W3CDTF">2026-09-07T11:58:01.062Z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