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Northbridge Capital Partners Fund III</w:t>
      </w:r>
    </w:p>
    <w:p>
      <w:pPr>
        <w:spacing w:after="4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Terms Summary — Fees, Hurdle Rate &amp; High-Water Mark</w:t>
      </w:r>
    </w:p>
    <w:p>
      <w:pPr>
        <w:pBdr>
          <w:bottom w:val="single" w:color="9C7A32" w:sz="6" w:space="8"/>
        </w:pBdr>
        <w:spacing w:after="200"/>
      </w:pPr>
      <w:r>
        <w:rPr>
          <w:rFonts w:ascii="Calibri" w:cs="Calibri" w:eastAsia="Calibri" w:hAnsi="Calibri"/>
          <w:i/>
          <w:iCs/>
          <w:color w:val="B00020"/>
          <w:sz w:val="18"/>
          <w:szCs w:val="18"/>
        </w:rPr>
        <w:t xml:space="preserve">Prepared January 2026  |  For Illustrative / Demo Purposes Only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Fund Overview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Northbridge Capital Partners Fund III (the “Fund”) is a multi-strategy hedge fund managed by Northbridge Capital Partners LLP, combining event-driven and relative value credit strategies across developed markets.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Management Fee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Fund charges an annual management fee of 1.75% of each investor's net asset value, calculated and accrued monthly, and payable in arrears. The management fee is charged irrespective of Fund performance.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Performance Fee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Investment Manager is entitled to a performance fee of 20% of the Fund's net trading profits attributable to each investor, subject to the hurdle rate and high-water mark provisions described below. Performance fees are calculated and crystallized annually, as of the Fund's fiscal year-end (31 December).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4. Hurdle Rate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A performance fee is only payable on net trading profits in excess of a hurdle rate of 5% per annum (a “hard” hurdle, meaning the performance fee applies only to gains above the hurdle, not to the entirety of profits once the hurdle is cleared).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5. High-Water Mark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Each investor's capital account is subject to a perpetual high-water mark. No performance fee is payable on gains that merely restore an investor's capital account to a previously reached peak value; performance fees apply only to new net appreciation above the investor's prior high-water mark, after taking the hurdle rate into account.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9C7A32"/>
          <w:sz w:val="22"/>
          <w:szCs w:val="22"/>
        </w:rPr>
        <w:t xml:space="preserve">6. Other Fees and Expenses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Fund bears its own operating expenses, including administration, audit, legal, and regulatory filing fees, estimated at 0.15%–0.25% of NAV annually. There is no separate placement fee charged to investors subscribing directly with the Investment Manager.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Summary Table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000"/>
      </w:tblGrid>
      <w:tr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/ Terms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Management fee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1.75% p.a. of NAV, accrued monthly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Performance fee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20% of net trading profits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Hurdle rate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5% p.a., hard hurdle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High-water mark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Yes, perpetual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Crystallization frequency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Annual (31 December)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Estimated fund expenses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0.15%–0.25% of NAV p.a.</w:t>
            </w:r>
          </w:p>
        </w:tc>
      </w:tr>
    </w:tbl>
    <w:p>
      <w:pPr>
        <w:pBdr>
          <w:top w:val="single" w:color="CCCCCC" w:sz="4" w:space="8"/>
        </w:pBdr>
        <w:spacing w:before="300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This document is a simplified, fictional sample created for demonstration purposes only. It does not represent an actual fund, offering, or investment recommendation.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2026-09-07T11:58:01.263Z</dcterms:created>
  <dcterms:modified xsi:type="dcterms:W3CDTF">2026-09-07T11:58:01.263Z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