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A4A"/>
          <w:sz w:val="36"/>
          <w:szCs w:val="36"/>
        </w:rPr>
        <w:t xml:space="preserve">Summit Ridge Capital Fund III, L.P.</w:t>
      </w:r>
    </w:p>
    <w:p>
      <w:pPr>
        <w:spacing w:after="40"/>
      </w:pPr>
      <w:r>
        <w:rPr>
          <w:rFonts w:ascii="Calibri" w:cs="Calibri" w:eastAsia="Calibri" w:hAnsi="Calibri"/>
          <w:color w:val="5A5A5A"/>
          <w:sz w:val="20"/>
          <w:szCs w:val="20"/>
        </w:rPr>
        <w:t xml:space="preserve">Limited Partnership Agreement — Excerpt: Key Person &amp; GP Removal Provisions</w:t>
      </w:r>
    </w:p>
    <w:p>
      <w:pPr>
        <w:pBdr>
          <w:bottom w:val="single" w:color="9C7A32" w:sz="6" w:space="8"/>
        </w:pBdr>
        <w:spacing w:after="200"/>
      </w:pPr>
      <w:r>
        <w:rPr>
          <w:rFonts w:ascii="Calibri" w:cs="Calibri" w:eastAsia="Calibri" w:hAnsi="Calibri"/>
          <w:i/>
          <w:iCs/>
          <w:color w:val="B00020"/>
          <w:sz w:val="18"/>
          <w:szCs w:val="18"/>
        </w:rPr>
        <w:t xml:space="preserve">Prepared September 2025  |  For Illustrative / Demo Purposes Only</w:t>
      </w:r>
    </w:p>
    <w:p>
      <w:pPr>
        <w:pStyle w:val="Heading1"/>
        <w:spacing w:after="120" w:before="280"/>
      </w:pPr>
      <w:r>
        <w:rPr>
          <w:rFonts w:ascii="Calibri" w:cs="Calibri" w:eastAsia="Calibri" w:hAnsi="Calibri"/>
          <w:b/>
          <w:bCs/>
          <w:color w:val="1B2A4A"/>
          <w:sz w:val="26"/>
          <w:szCs w:val="26"/>
        </w:rPr>
        <w:t xml:space="preserve">1. Fund Overview</w:t>
      </w:r>
    </w:p>
    <w:p>
      <w:pPr>
        <w:spacing w:after="140"/>
      </w:pPr>
      <w:r>
        <w:rPr>
          <w:rFonts w:ascii="Calibri" w:cs="Calibri" w:eastAsia="Calibri" w:hAnsi="Calibri"/>
          <w:sz w:val="20"/>
          <w:szCs w:val="20"/>
        </w:rPr>
        <w:t xml:space="preserve">Summit Ridge Capital Fund III, L.P. (the “Fund”) is a lower mid-market private equity fund managed by Summit Ridge Capital GP III LLC (the “General Partner”), focused on control investments in European healthcare services businesses.</w:t>
      </w:r>
    </w:p>
    <w:p>
      <w:pPr>
        <w:pStyle w:val="Heading1"/>
        <w:spacing w:after="120" w:before="280"/>
      </w:pPr>
      <w:r>
        <w:rPr>
          <w:rFonts w:ascii="Calibri" w:cs="Calibri" w:eastAsia="Calibri" w:hAnsi="Calibri"/>
          <w:b/>
          <w:bCs/>
          <w:color w:val="1B2A4A"/>
          <w:sz w:val="26"/>
          <w:szCs w:val="26"/>
        </w:rPr>
        <w:t xml:space="preserve">2. Key Person Provision</w:t>
      </w:r>
    </w:p>
    <w:p>
      <w:pPr>
        <w:spacing w:after="140"/>
      </w:pPr>
      <w:r>
        <w:rPr>
          <w:rFonts w:ascii="Calibri" w:cs="Calibri" w:eastAsia="Calibri" w:hAnsi="Calibri"/>
          <w:sz w:val="20"/>
          <w:szCs w:val="20"/>
        </w:rPr>
        <w:t xml:space="preserve">Section 6.3 of the Agreement designates the following individuals as “Key Persons”: Managing Partner A. Reinhardt and Senior Partner L. Ferrand. In the event that fewer than two of the two designated Key Persons devote substantially all of their business time to the Fund's affairs (a “Key Person Event”), the Investment Period shall be automatically suspended.</w:t>
      </w:r>
    </w:p>
    <w:p>
      <w:pPr>
        <w:pStyle w:val="Heading2"/>
        <w:spacing w:after="90" w:before="200"/>
      </w:pPr>
      <w:r>
        <w:rPr>
          <w:rFonts w:ascii="Calibri" w:cs="Calibri" w:eastAsia="Calibri" w:hAnsi="Calibri"/>
          <w:b/>
          <w:bCs/>
          <w:color w:val="9C7A32"/>
          <w:sz w:val="22"/>
          <w:szCs w:val="22"/>
        </w:rPr>
        <w:t xml:space="preserve">2.1 Consequences of a Key Person Event</w:t>
      </w:r>
    </w:p>
    <w:p>
      <w:pPr>
        <w:spacing w:after="140"/>
      </w:pPr>
      <w:r>
        <w:rPr>
          <w:rFonts w:ascii="Calibri" w:cs="Calibri" w:eastAsia="Calibri" w:hAnsi="Calibri"/>
          <w:sz w:val="20"/>
          <w:szCs w:val="20"/>
        </w:rPr>
        <w:t xml:space="preserve">Upon a Key Person Event, the General Partner may not call capital for new investments (other than follow-on investments in existing portfolio companies or to cover Fund expenses) unless and until Limited Partners holding at least 65% of total commitments vote to reinstate the Investment Period, with or without the appointment of a replacement Key Person acceptable to such Limited Partners.</w:t>
      </w:r>
    </w:p>
    <w:p>
      <w:pPr>
        <w:pStyle w:val="Heading2"/>
        <w:spacing w:after="90" w:before="200"/>
      </w:pPr>
      <w:r>
        <w:rPr>
          <w:rFonts w:ascii="Calibri" w:cs="Calibri" w:eastAsia="Calibri" w:hAnsi="Calibri"/>
          <w:b/>
          <w:bCs/>
          <w:color w:val="9C7A32"/>
          <w:sz w:val="22"/>
          <w:szCs w:val="22"/>
        </w:rPr>
        <w:t xml:space="preserve">2.2 Cure Period</w:t>
      </w:r>
    </w:p>
    <w:p>
      <w:pPr>
        <w:spacing w:after="140"/>
      </w:pPr>
      <w:r>
        <w:rPr>
          <w:rFonts w:ascii="Calibri" w:cs="Calibri" w:eastAsia="Calibri" w:hAnsi="Calibri"/>
          <w:sz w:val="20"/>
          <w:szCs w:val="20"/>
        </w:rPr>
        <w:t xml:space="preserve">The General Partner has 90 days following a Key Person Event to propose a replacement Key Person or otherwise cure the event to the satisfaction of the Limited Partner Advisory Committee before the suspension described above takes effect.</w:t>
      </w:r>
    </w:p>
    <w:p>
      <w:pPr>
        <w:pStyle w:val="Heading1"/>
        <w:spacing w:after="120" w:before="280"/>
      </w:pPr>
      <w:r>
        <w:rPr>
          <w:rFonts w:ascii="Calibri" w:cs="Calibri" w:eastAsia="Calibri" w:hAnsi="Calibri"/>
          <w:b/>
          <w:bCs/>
          <w:color w:val="1B2A4A"/>
          <w:sz w:val="26"/>
          <w:szCs w:val="26"/>
        </w:rPr>
        <w:t xml:space="preserve">3. General Partner Removal</w:t>
      </w:r>
    </w:p>
    <w:p>
      <w:pPr>
        <w:pStyle w:val="Heading2"/>
        <w:spacing w:after="90" w:before="200"/>
      </w:pPr>
      <w:r>
        <w:rPr>
          <w:rFonts w:ascii="Calibri" w:cs="Calibri" w:eastAsia="Calibri" w:hAnsi="Calibri"/>
          <w:b/>
          <w:bCs/>
          <w:color w:val="9C7A32"/>
          <w:sz w:val="22"/>
          <w:szCs w:val="22"/>
        </w:rPr>
        <w:t xml:space="preserve">3.1 Removal For Cause</w:t>
      </w:r>
    </w:p>
    <w:p>
      <w:pPr>
        <w:spacing w:after="140"/>
      </w:pPr>
      <w:r>
        <w:rPr>
          <w:rFonts w:ascii="Calibri" w:cs="Calibri" w:eastAsia="Calibri" w:hAnsi="Calibri"/>
          <w:sz w:val="20"/>
          <w:szCs w:val="20"/>
        </w:rPr>
        <w:t xml:space="preserve">Limited Partners holding a simple majority of total commitments may remove the General Partner “for cause,” defined as fraud, willful misconduct, gross negligence, or a material and uncured breach of the Agreement, each as finally determined by a court of competent jurisdiction or binding arbitration.</w:t>
      </w:r>
    </w:p>
    <w:p>
      <w:pPr>
        <w:pStyle w:val="Heading2"/>
        <w:spacing w:after="90" w:before="200"/>
      </w:pPr>
      <w:r>
        <w:rPr>
          <w:rFonts w:ascii="Calibri" w:cs="Calibri" w:eastAsia="Calibri" w:hAnsi="Calibri"/>
          <w:b/>
          <w:bCs/>
          <w:color w:val="9C7A32"/>
          <w:sz w:val="22"/>
          <w:szCs w:val="22"/>
        </w:rPr>
        <w:t xml:space="preserve">3.2 Removal Without Cause</w:t>
      </w:r>
    </w:p>
    <w:p>
      <w:pPr>
        <w:spacing w:after="140"/>
      </w:pPr>
      <w:r>
        <w:rPr>
          <w:rFonts w:ascii="Calibri" w:cs="Calibri" w:eastAsia="Calibri" w:hAnsi="Calibri"/>
          <w:sz w:val="20"/>
          <w:szCs w:val="20"/>
        </w:rPr>
        <w:t xml:space="preserve">Limited Partners holding at least 75% of total commitments may remove the General Partner without cause. In such an event, the Investment Period terminates immediately, and the General Partner is entitled to a reduced, pro-rated management fee through the effective date of removal, plus a run-off fee of 50% of the standard management fee for the subsequent 12 months to wind down the portfolio.</w:t>
      </w:r>
    </w:p>
    <w:p>
      <w:pPr>
        <w:pStyle w:val="Heading2"/>
        <w:spacing w:after="90" w:before="200"/>
      </w:pPr>
      <w:r>
        <w:rPr>
          <w:rFonts w:ascii="Calibri" w:cs="Calibri" w:eastAsia="Calibri" w:hAnsi="Calibri"/>
          <w:b/>
          <w:bCs/>
          <w:color w:val="9C7A32"/>
          <w:sz w:val="22"/>
          <w:szCs w:val="22"/>
        </w:rPr>
        <w:t xml:space="preserve">3.3 Advisory Committee Role</w:t>
      </w:r>
    </w:p>
    <w:p>
      <w:pPr>
        <w:spacing w:after="140"/>
      </w:pPr>
      <w:r>
        <w:rPr>
          <w:rFonts w:ascii="Calibri" w:cs="Calibri" w:eastAsia="Calibri" w:hAnsi="Calibri"/>
          <w:sz w:val="20"/>
          <w:szCs w:val="20"/>
        </w:rPr>
        <w:t xml:space="preserve">The Limited Partner Advisory Committee, composed of representatives from the Fund's five largest Limited Partners, must be consulted prior to any removal vote and has the right to request an independent review of the grounds asserted for removal.</w:t>
      </w:r>
    </w:p>
    <w:p>
      <w:pPr>
        <w:pStyle w:val="Heading1"/>
        <w:spacing w:after="120" w:before="280"/>
      </w:pPr>
      <w:r>
        <w:rPr>
          <w:rFonts w:ascii="Calibri" w:cs="Calibri" w:eastAsia="Calibri" w:hAnsi="Calibri"/>
          <w:b/>
          <w:bCs/>
          <w:color w:val="1B2A4A"/>
          <w:sz w:val="26"/>
          <w:szCs w:val="26"/>
        </w:rPr>
        <w:t xml:space="preserve">4. Summary Table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4400"/>
      </w:tblGrid>
      <w:tr>
        <w:tc>
          <w:tcPr>
            <w:tcW w:type="dxa" w:w="3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Provision</w:t>
            </w:r>
          </w:p>
        </w:tc>
        <w:tc>
          <w:tcPr>
            <w:tcW w:type="dxa" w:w="44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Threshold / Terms</w:t>
            </w:r>
          </w:p>
        </w:tc>
      </w:tr>
      <w:tr>
        <w:tc>
          <w:tcPr>
            <w:tcW w:type="dxa" w:w="39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Key Persons designated</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2 (Managing Partner, Senior Partner)</w:t>
            </w:r>
          </w:p>
        </w:tc>
      </w:tr>
      <w:tr>
        <w:tc>
          <w:tcPr>
            <w:tcW w:type="dxa" w:w="39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Key Person Event trigger</w:t>
            </w:r>
          </w:p>
        </w:tc>
        <w:tc>
          <w:tcPr>
            <w:tcW w:type="dxa" w:w="44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Fewer than 2 of 2 remain active</w:t>
            </w:r>
          </w:p>
        </w:tc>
      </w:tr>
      <w:tr>
        <w:tc>
          <w:tcPr>
            <w:tcW w:type="dxa" w:w="39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Cure period</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90 days</w:t>
            </w:r>
          </w:p>
        </w:tc>
      </w:tr>
      <w:tr>
        <w:tc>
          <w:tcPr>
            <w:tcW w:type="dxa" w:w="39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Reinstatement vote required</w:t>
            </w:r>
          </w:p>
        </w:tc>
        <w:tc>
          <w:tcPr>
            <w:tcW w:type="dxa" w:w="44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≥65% of commitments</w:t>
            </w:r>
          </w:p>
        </w:tc>
      </w:tr>
      <w:tr>
        <w:tc>
          <w:tcPr>
            <w:tcW w:type="dxa" w:w="39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GP removal for cause</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Simple majority (&gt;50%) of commitments</w:t>
            </w:r>
          </w:p>
        </w:tc>
      </w:tr>
      <w:tr>
        <w:tc>
          <w:tcPr>
            <w:tcW w:type="dxa" w:w="39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GP removal without cause</w:t>
            </w:r>
          </w:p>
        </w:tc>
        <w:tc>
          <w:tcPr>
            <w:tcW w:type="dxa" w:w="4400"/>
            <w:shd w:fill="F2F2F2"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≥75% of commitments</w:t>
            </w:r>
          </w:p>
        </w:tc>
      </w:tr>
      <w:tr>
        <w:tc>
          <w:tcPr>
            <w:tcW w:type="dxa" w:w="39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GP run-off fee (removal w/o cause)</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000000"/>
                <w:sz w:val="18"/>
                <w:szCs w:val="18"/>
              </w:rPr>
              <w:t xml:space="preserve">50% of standard fee, 12 months</w:t>
            </w:r>
          </w:p>
        </w:tc>
      </w:tr>
    </w:tbl>
    <w:p>
      <w:pPr>
        <w:pBdr>
          <w:top w:val="single" w:color="CCCCCC" w:sz="4" w:space="8"/>
        </w:pBdr>
        <w:spacing w:before="300"/>
      </w:pPr>
      <w:r>
        <w:rPr>
          <w:rFonts w:ascii="Calibri" w:cs="Calibri" w:eastAsia="Calibri" w:hAnsi="Calibri"/>
          <w:i/>
          <w:iCs/>
          <w:color w:val="5A5A5A"/>
          <w:sz w:val="16"/>
          <w:szCs w:val="16"/>
        </w:rPr>
        <w:t xml:space="preserve">This document is a simplified, fictional sample created for demonstration purposes only. It does not represent an actual fund, offering, or investment recommendation.</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2026-09-07T11:58:01.369Z</dcterms:created>
  <dcterms:modified xsi:type="dcterms:W3CDTF">2026-09-07T11:58:01.369Z</dcterms:modified>
</cp:coreProperties>
</file>

<file path=docProps/custom.xml><?xml version="1.0" encoding="utf-8"?>
<Properties xmlns="http://schemas.openxmlformats.org/officeDocument/2006/custom-properties" xmlns:vt="http://schemas.openxmlformats.org/officeDocument/2006/docPropsVTypes"/>
</file>