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ROI Analysis for AI-Powered Medicare Fraud Detection</w:t>
      </w:r>
    </w:p>
    <w:p>
      <w:pPr>
        <w:jc w:val="center"/>
      </w:pPr>
      <w:r>
        <w:rPr>
          <w:i/>
          <w:sz w:val="24"/>
        </w:rPr>
        <w:t>Research &amp; Experimental Financial Impact Guide</w:t>
      </w:r>
    </w:p>
    <w:p>
      <w:pPr>
        <w:pStyle w:val="Heading1"/>
      </w:pPr>
      <w:r>
        <w:t>Overview</w:t>
      </w:r>
    </w:p>
    <w:p>
      <w:r>
        <w:t>Implementing AI-driven fraud detection for Medicare claims can significantly improve fraud identification accuracy, reduce operational costs, and accelerate claims review processes. This analysis illustrates the potential financial and operational impact of deploying an AI-based fraud detection solution.</w:t>
      </w:r>
    </w:p>
    <w:p>
      <w:pPr>
        <w:pStyle w:val="Heading1"/>
      </w:pPr>
      <w:r>
        <w:t>1. Investment Requirements</w:t>
      </w:r>
    </w:p>
    <w:tbl>
      <w:tblPr>
        <w:tblStyle w:val="TableGrid"/>
        <w:tblW w:type="auto" w:w="0"/>
        <w:tblLook w:firstColumn="1" w:firstRow="1" w:lastColumn="0" w:lastRow="0" w:noHBand="0" w:noVBand="1" w:val="04A0"/>
      </w:tblPr>
      <w:tblGrid>
        <w:gridCol w:w="4320"/>
        <w:gridCol w:w="4320"/>
      </w:tblGrid>
      <w:tr>
        <w:tc>
          <w:tcPr>
            <w:tcW w:type="dxa" w:w="4320"/>
          </w:tcPr>
          <w:p>
            <w:r>
              <w:t>Cost Component</w:t>
            </w:r>
          </w:p>
        </w:tc>
        <w:tc>
          <w:tcPr>
            <w:tcW w:type="dxa" w:w="4320"/>
          </w:tcPr>
          <w:p>
            <w:r>
              <w:t>Amount</w:t>
            </w:r>
          </w:p>
        </w:tc>
      </w:tr>
      <w:tr>
        <w:tc>
          <w:tcPr>
            <w:tcW w:type="dxa" w:w="4320"/>
          </w:tcPr>
          <w:p>
            <w:r>
              <w:t>AI system development &amp; deployment</w:t>
            </w:r>
          </w:p>
        </w:tc>
        <w:tc>
          <w:tcPr>
            <w:tcW w:type="dxa" w:w="4320"/>
          </w:tcPr>
          <w:p>
            <w:r>
              <w:t>$500,000</w:t>
            </w:r>
          </w:p>
        </w:tc>
      </w:tr>
      <w:tr>
        <w:tc>
          <w:tcPr>
            <w:tcW w:type="dxa" w:w="4320"/>
          </w:tcPr>
          <w:p>
            <w:r>
              <w:t>Staff training &amp; onboarding</w:t>
            </w:r>
          </w:p>
        </w:tc>
        <w:tc>
          <w:tcPr>
            <w:tcW w:type="dxa" w:w="4320"/>
          </w:tcPr>
          <w:p>
            <w:r>
              <w:t>$50,000</w:t>
            </w:r>
          </w:p>
        </w:tc>
      </w:tr>
      <w:tr>
        <w:tc>
          <w:tcPr>
            <w:tcW w:type="dxa" w:w="4320"/>
          </w:tcPr>
          <w:p>
            <w:r>
              <w:t>Annual maintenance &amp; support</w:t>
            </w:r>
          </w:p>
        </w:tc>
        <w:tc>
          <w:tcPr>
            <w:tcW w:type="dxa" w:w="4320"/>
          </w:tcPr>
          <w:p>
            <w:r>
              <w:t>$50,000</w:t>
            </w:r>
          </w:p>
        </w:tc>
      </w:tr>
      <w:tr>
        <w:tc>
          <w:tcPr>
            <w:tcW w:type="dxa" w:w="4320"/>
          </w:tcPr>
          <w:p>
            <w:r>
              <w:t>Total First-Year Cost</w:t>
            </w:r>
          </w:p>
        </w:tc>
        <w:tc>
          <w:tcPr>
            <w:tcW w:type="dxa" w:w="4320"/>
          </w:tcPr>
          <w:p>
            <w:r>
              <w:t>$600,000</w:t>
            </w:r>
          </w:p>
        </w:tc>
      </w:tr>
    </w:tbl>
    <w:p>
      <w:pPr>
        <w:pStyle w:val="Heading1"/>
      </w:pPr>
      <w:r>
        <w:t>2. Current (Pre-AI) Fraud Detection Performance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Annual fraudulent claims processed</w:t>
            </w:r>
          </w:p>
        </w:tc>
        <w:tc>
          <w:tcPr>
            <w:tcW w:type="dxa" w:w="4320"/>
          </w:tcPr>
          <w:p>
            <w:r>
              <w:t>10,000</w:t>
            </w:r>
          </w:p>
        </w:tc>
      </w:tr>
      <w:tr>
        <w:tc>
          <w:tcPr>
            <w:tcW w:type="dxa" w:w="4320"/>
          </w:tcPr>
          <w:p>
            <w:r>
              <w:t>Average fraudulent claim amount</w:t>
            </w:r>
          </w:p>
        </w:tc>
        <w:tc>
          <w:tcPr>
            <w:tcW w:type="dxa" w:w="4320"/>
          </w:tcPr>
          <w:p>
            <w:r>
              <w:t>$5,000</w:t>
            </w:r>
          </w:p>
        </w:tc>
      </w:tr>
      <w:tr>
        <w:tc>
          <w:tcPr>
            <w:tcW w:type="dxa" w:w="4320"/>
          </w:tcPr>
          <w:p>
            <w:r>
              <w:t>Current fraud detection rate</w:t>
            </w:r>
          </w:p>
        </w:tc>
        <w:tc>
          <w:tcPr>
            <w:tcW w:type="dxa" w:w="4320"/>
          </w:tcPr>
          <w:p>
            <w:r>
              <w:t>70%</w:t>
            </w:r>
          </w:p>
        </w:tc>
      </w:tr>
    </w:tbl>
    <w:p>
      <w:pPr>
        <w:pStyle w:val="Heading2"/>
      </w:pPr>
      <w:r>
        <w:t>Fraud Prevented Before AI</w:t>
      </w:r>
    </w:p>
    <w:p>
      <w:r>
        <w:t>10,000 × 70% × $5,000 = $35,000,000</w:t>
      </w:r>
    </w:p>
    <w:p>
      <w:r>
        <w:t>Annual fraud losses prevented: $35.0 million</w:t>
      </w:r>
    </w:p>
    <w:p>
      <w:pPr>
        <w:pStyle w:val="Heading1"/>
      </w:pPr>
      <w:r>
        <w:t>3. Post-AI Fraud Detection Performance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Improved fraud detection rate</w:t>
            </w:r>
          </w:p>
        </w:tc>
        <w:tc>
          <w:tcPr>
            <w:tcW w:type="dxa" w:w="4320"/>
          </w:tcPr>
          <w:p>
            <w:r>
              <w:t>90%</w:t>
            </w:r>
          </w:p>
        </w:tc>
      </w:tr>
      <w:tr>
        <w:tc>
          <w:tcPr>
            <w:tcW w:type="dxa" w:w="4320"/>
          </w:tcPr>
          <w:p>
            <w:r>
              <w:t>Fraudulent claims identified</w:t>
            </w:r>
          </w:p>
        </w:tc>
        <w:tc>
          <w:tcPr>
            <w:tcW w:type="dxa" w:w="4320"/>
          </w:tcPr>
          <w:p>
            <w:r>
              <w:t>9,000</w:t>
            </w:r>
          </w:p>
        </w:tc>
      </w:tr>
      <w:tr>
        <w:tc>
          <w:tcPr>
            <w:tcW w:type="dxa" w:w="4320"/>
          </w:tcPr>
          <w:p>
            <w:r>
              <w:t>Detection improvement</w:t>
            </w:r>
          </w:p>
        </w:tc>
        <w:tc>
          <w:tcPr>
            <w:tcW w:type="dxa" w:w="4320"/>
          </w:tcPr>
          <w:p>
            <w:r>
              <w:t>20 percentage points</w:t>
            </w:r>
          </w:p>
        </w:tc>
      </w:tr>
    </w:tbl>
    <w:p>
      <w:pPr>
        <w:pStyle w:val="Heading2"/>
      </w:pPr>
      <w:r>
        <w:t>Additional Fraud Prevented with AI</w:t>
      </w:r>
    </w:p>
    <w:p>
      <w:r>
        <w:t>10,000 × 20% × $5,000 = $10,000,000</w:t>
      </w:r>
    </w:p>
    <w:p>
      <w:r>
        <w:t>Additional annual fraud savings: $10.0 million</w:t>
      </w:r>
    </w:p>
    <w:p>
      <w:pPr>
        <w:pStyle w:val="Heading1"/>
      </w:pPr>
      <w:r>
        <w:t>4. Operational Efficiency Savings</w:t>
      </w:r>
    </w:p>
    <w:tbl>
      <w:tblPr>
        <w:tblStyle w:val="TableGrid"/>
        <w:tblW w:type="auto" w:w="0"/>
        <w:tblLook w:firstColumn="1" w:firstRow="1" w:lastColumn="0" w:lastRow="0" w:noHBand="0" w:noVBand="1" w:val="04A0"/>
      </w:tblPr>
      <w:tblGrid>
        <w:gridCol w:w="4320"/>
        <w:gridCol w:w="4320"/>
      </w:tblGrid>
      <w:tr>
        <w:tc>
          <w:tcPr>
            <w:tcW w:type="dxa" w:w="4320"/>
          </w:tcPr>
          <w:p>
            <w:r>
              <w:t>Savings Category</w:t>
            </w:r>
          </w:p>
        </w:tc>
        <w:tc>
          <w:tcPr>
            <w:tcW w:type="dxa" w:w="4320"/>
          </w:tcPr>
          <w:p>
            <w:r>
              <w:t>Annual Savings</w:t>
            </w:r>
          </w:p>
        </w:tc>
      </w:tr>
      <w:tr>
        <w:tc>
          <w:tcPr>
            <w:tcW w:type="dxa" w:w="4320"/>
          </w:tcPr>
          <w:p>
            <w:r>
              <w:t>Reduced manual claims review labor</w:t>
            </w:r>
          </w:p>
        </w:tc>
        <w:tc>
          <w:tcPr>
            <w:tcW w:type="dxa" w:w="4320"/>
          </w:tcPr>
          <w:p>
            <w:r>
              <w:t>$200,000</w:t>
            </w:r>
          </w:p>
        </w:tc>
      </w:tr>
      <w:tr>
        <w:tc>
          <w:tcPr>
            <w:tcW w:type="dxa" w:w="4320"/>
          </w:tcPr>
          <w:p>
            <w:r>
              <w:t>Reduction in false-positive reviews</w:t>
            </w:r>
          </w:p>
        </w:tc>
        <w:tc>
          <w:tcPr>
            <w:tcW w:type="dxa" w:w="4320"/>
          </w:tcPr>
          <w:p>
            <w:r>
              <w:t>$100,000</w:t>
            </w:r>
          </w:p>
        </w:tc>
      </w:tr>
      <w:tr>
        <w:tc>
          <w:tcPr>
            <w:tcW w:type="dxa" w:w="4320"/>
          </w:tcPr>
          <w:p>
            <w:r>
              <w:t>Total Operational Savings</w:t>
            </w:r>
          </w:p>
        </w:tc>
        <w:tc>
          <w:tcPr>
            <w:tcW w:type="dxa" w:w="4320"/>
          </w:tcPr>
          <w:p>
            <w:r>
              <w:t>$300,000</w:t>
            </w:r>
          </w:p>
        </w:tc>
      </w:tr>
    </w:tbl>
    <w:p>
      <w:pPr>
        <w:pStyle w:val="Heading1"/>
      </w:pPr>
      <w:r>
        <w:t>5. Total Annual Financial Benefit</w:t>
      </w:r>
    </w:p>
    <w:tbl>
      <w:tblPr>
        <w:tblStyle w:val="TableGrid"/>
        <w:tblW w:type="auto" w:w="0"/>
        <w:tblLook w:firstColumn="1" w:firstRow="1" w:lastColumn="0" w:lastRow="0" w:noHBand="0" w:noVBand="1" w:val="04A0"/>
      </w:tblPr>
      <w:tblGrid>
        <w:gridCol w:w="4320"/>
        <w:gridCol w:w="4320"/>
      </w:tblGrid>
      <w:tr>
        <w:tc>
          <w:tcPr>
            <w:tcW w:type="dxa" w:w="4320"/>
          </w:tcPr>
          <w:p>
            <w:r>
              <w:t>Benefit Category</w:t>
            </w:r>
          </w:p>
        </w:tc>
        <w:tc>
          <w:tcPr>
            <w:tcW w:type="dxa" w:w="4320"/>
          </w:tcPr>
          <w:p>
            <w:r>
              <w:t>Amount</w:t>
            </w:r>
          </w:p>
        </w:tc>
      </w:tr>
      <w:tr>
        <w:tc>
          <w:tcPr>
            <w:tcW w:type="dxa" w:w="4320"/>
          </w:tcPr>
          <w:p>
            <w:r>
              <w:t>Additional fraud prevention savings</w:t>
            </w:r>
          </w:p>
        </w:tc>
        <w:tc>
          <w:tcPr>
            <w:tcW w:type="dxa" w:w="4320"/>
          </w:tcPr>
          <w:p>
            <w:r>
              <w:t>$10,000,000</w:t>
            </w:r>
          </w:p>
        </w:tc>
      </w:tr>
      <w:tr>
        <w:tc>
          <w:tcPr>
            <w:tcW w:type="dxa" w:w="4320"/>
          </w:tcPr>
          <w:p>
            <w:r>
              <w:t>Operational cost savings</w:t>
            </w:r>
          </w:p>
        </w:tc>
        <w:tc>
          <w:tcPr>
            <w:tcW w:type="dxa" w:w="4320"/>
          </w:tcPr>
          <w:p>
            <w:r>
              <w:t>$300,000</w:t>
            </w:r>
          </w:p>
        </w:tc>
      </w:tr>
      <w:tr>
        <w:tc>
          <w:tcPr>
            <w:tcW w:type="dxa" w:w="4320"/>
          </w:tcPr>
          <w:p>
            <w:r>
              <w:t>Total Annual Benefits</w:t>
            </w:r>
          </w:p>
        </w:tc>
        <w:tc>
          <w:tcPr>
            <w:tcW w:type="dxa" w:w="4320"/>
          </w:tcPr>
          <w:p>
            <w:r>
              <w:t>$10,300,000</w:t>
            </w:r>
          </w:p>
        </w:tc>
      </w:tr>
    </w:tbl>
    <w:p>
      <w:pPr>
        <w:pStyle w:val="Heading1"/>
      </w:pPr>
      <w:r>
        <w:t>6. First-Year ROI Calculation</w:t>
      </w:r>
    </w:p>
    <w:p>
      <w:pPr>
        <w:pStyle w:val="Heading2"/>
      </w:pPr>
      <w:r>
        <w:t>Net Financial Gain</w:t>
      </w:r>
    </w:p>
    <w:p>
      <w:r>
        <w:t>$10,300,000 − $600,000 = $9,700,000</w:t>
      </w:r>
    </w:p>
    <w:p>
      <w:r>
        <w:t>Net first-year gain: $9.7 million</w:t>
      </w:r>
    </w:p>
    <w:p>
      <w:pPr>
        <w:pStyle w:val="Heading2"/>
      </w:pPr>
      <w:r>
        <w:t>ROI Formula</w:t>
      </w:r>
    </w:p>
    <w:p>
      <w:r>
        <w:t>ROI = (Net Gain ÷ Total First-Year Cost) × 100</w:t>
      </w:r>
    </w:p>
    <w:p>
      <w:r>
        <w:t>ROI = ($9,700,000 ÷ $600,000) × 100</w:t>
      </w:r>
    </w:p>
    <w:p>
      <w:r>
        <w:t>ROI = 1,616.7%</w:t>
      </w:r>
    </w:p>
    <w:p>
      <w:r>
        <w:t>Rounded First-Year ROI: 1,617%</w:t>
      </w:r>
    </w:p>
    <w:p>
      <w:pPr>
        <w:pStyle w:val="Heading1"/>
      </w:pPr>
      <w:r>
        <w:t>7. Break-Even Analysis</w:t>
      </w:r>
    </w:p>
    <w:p>
      <w:pPr>
        <w:pStyle w:val="Heading2"/>
      </w:pPr>
      <w:r>
        <w:t>Monthly Benefit</w:t>
      </w:r>
    </w:p>
    <w:p>
      <w:r>
        <w:t>$10,300,000 ÷ 12 = $858,333</w:t>
      </w:r>
    </w:p>
    <w:p>
      <w:r>
        <w:t>Estimated monthly benefit: $858,333</w:t>
      </w:r>
    </w:p>
    <w:p>
      <w:pPr>
        <w:pStyle w:val="Heading2"/>
      </w:pPr>
      <w:r>
        <w:t>Break-Even Period</w:t>
      </w:r>
    </w:p>
    <w:p>
      <w:r>
        <w:t>$600,000 ÷ $858,333 ≈ 0.7 months</w:t>
      </w:r>
    </w:p>
    <w:p>
      <w:r>
        <w:t>Estimated break-even time: Less than 1 month</w:t>
      </w:r>
    </w:p>
    <w:p>
      <w:pPr>
        <w:pStyle w:val="Heading1"/>
      </w:pPr>
      <w:r>
        <w:t>Executive Conclusion</w:t>
      </w:r>
    </w:p>
    <w:p>
      <w:r>
        <w:t>Deploying AI for Medicare fraud detection delivers substantial financial and operational value. By increasing fraud detection accuracy from 70% to 90%, the organization can potentially prevent an additional $10 million in fraudulent payouts annually while also reducing manual review costs and administrative overhead.</w:t>
      </w:r>
    </w:p>
    <w:p>
      <w:r>
        <w:t>Key projected outcomes include:</w:t>
      </w:r>
    </w:p>
    <w:p>
      <w:pPr>
        <w:pStyle w:val="ListBullet"/>
      </w:pPr>
      <w:r>
        <w:t>$10.3 million in annual financial benefit</w:t>
      </w:r>
    </w:p>
    <w:p>
      <w:pPr>
        <w:pStyle w:val="ListBullet"/>
      </w:pPr>
      <w:r>
        <w:t>Approximately $9.7 million in first-year net gain</w:t>
      </w:r>
    </w:p>
    <w:p>
      <w:pPr>
        <w:pStyle w:val="ListBullet"/>
      </w:pPr>
      <w:r>
        <w:t>1,617% estimated first-year ROI</w:t>
      </w:r>
    </w:p>
    <w:p>
      <w:pPr>
        <w:pStyle w:val="ListBullet"/>
      </w:pPr>
      <w:r>
        <w:t>Break-even achieved in under one month</w:t>
      </w:r>
    </w:p>
    <w:p>
      <w:pPr>
        <w:pStyle w:val="ListBullet"/>
      </w:pPr>
      <w:r>
        <w:t>Improved operational efficiency and reduced administrative overhead</w:t>
      </w:r>
    </w:p>
    <w:p>
      <w:r>
        <w:t>This analysis demonstrates that AI-enabled fraud detection can provide rapid payback, improved operational efficiency, and meaningful protection against Medicare fraud losses.</w:t>
      </w:r>
    </w:p>
    <w:p>
      <w:pPr>
        <w:pStyle w:val="Heading1"/>
      </w:pPr>
      <w:r>
        <w:t>Validation &amp; Corrections</w:t>
      </w:r>
    </w:p>
    <w:p>
      <w:r>
        <w:t>The ROI calculations and break-even estimates were reviewed for mathematical correctness. The original calculation of 1,616.7% ROI was rounded to 1,617%. Formatting and wording were refined for executive-level presentation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