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FF5FC" w:val="clear"/>
            <w:tcMar>
              <w:top w:type="dxa" w:w="100"/>
              <w:left w:type="dxa" w:w="160"/>
              <w:bottom w:type="dxa" w:w="100"/>
              <w:right w:type="dxa" w:w="160"/>
            </w:tcMar>
            <w:vAlign w:val="top"/>
          </w:tcPr>
          <w:p>
            <w:pPr>
              <w:spacing w:after="60" w:before="120"/>
              <w:jc w:val="center"/>
            </w:pPr>
            <w:r>
              <w:rPr>
                <w:rFonts w:ascii="Arial" w:cs="Arial" w:eastAsia="Arial" w:hAnsi="Arial"/>
                <w:b/>
                <w:bCs/>
                <w:color w:val="2E75B6"/>
                <w:sz w:val="20"/>
                <w:szCs w:val="20"/>
              </w:rPr>
              <w:t xml:space="preserve">MSPR — Bloc 4 — RNCP35584</w:t>
            </w:r>
          </w:p>
          <w:p>
            <w:pPr>
              <w:spacing w:after="60" w:before="0"/>
              <w:jc w:val="center"/>
            </w:pPr>
            <w:r>
              <w:rPr>
                <w:rFonts w:ascii="Arial" w:cs="Arial" w:eastAsia="Arial" w:hAnsi="Arial"/>
                <w:b/>
                <w:bCs/>
                <w:color w:val="1E4D8C"/>
                <w:sz w:val="52"/>
                <w:szCs w:val="52"/>
              </w:rPr>
              <w:t xml:space="preserve">FutureKawa</w:t>
            </w:r>
          </w:p>
          <w:p>
            <w:pPr>
              <w:spacing w:after="60" w:before="0"/>
              <w:jc w:val="center"/>
            </w:pPr>
            <w:r>
              <w:rPr>
                <w:rFonts w:ascii="Arial" w:cs="Arial" w:eastAsia="Arial" w:hAnsi="Arial"/>
                <w:color w:val="2E75B6"/>
                <w:sz w:val="32"/>
                <w:szCs w:val="32"/>
              </w:rPr>
              <w:t xml:space="preserve">Suivi IoT des stocks de cafe vert</w:t>
            </w:r>
          </w:p>
          <w:p>
            <w:pPr>
              <w:spacing w:after="120" w:before="60"/>
              <w:jc w:val="center"/>
            </w:pPr>
            <w:r>
              <w:rPr>
                <w:rFonts w:ascii="Arial" w:cs="Arial" w:eastAsia="Arial" w:hAnsi="Arial"/>
                <w:i/>
                <w:iCs/>
                <w:color w:val="555555"/>
                <w:sz w:val="20"/>
                <w:szCs w:val="20"/>
              </w:rPr>
              <w:t xml:space="preserve">Resume du cahier des charges — EPSI</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Equipe</w:t>
            </w:r>
          </w:p>
          <w:p>
            <w:pPr>
              <w:spacing w:after="80" w:before="0"/>
              <w:jc w:val="center"/>
            </w:pPr>
            <w:r>
              <w:rPr>
                <w:rFonts w:ascii="Arial" w:cs="Arial" w:eastAsia="Arial" w:hAnsi="Arial"/>
                <w:color w:val="333333"/>
                <w:sz w:val="20"/>
                <w:szCs w:val="20"/>
              </w:rPr>
              <w:t xml:space="preserve">4 a 5 personnes</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Preparation</w:t>
            </w:r>
          </w:p>
          <w:p>
            <w:pPr>
              <w:spacing w:after="80" w:before="0"/>
              <w:jc w:val="center"/>
            </w:pPr>
            <w:r>
              <w:rPr>
                <w:rFonts w:ascii="Arial" w:cs="Arial" w:eastAsia="Arial" w:hAnsi="Arial"/>
                <w:color w:val="333333"/>
                <w:sz w:val="20"/>
                <w:szCs w:val="20"/>
              </w:rPr>
              <w:t xml:space="preserve">24 heures</w:t>
            </w:r>
          </w:p>
        </w:tc>
        <w:tc>
          <w:tcPr>
            <w:tcW w:type="dxa" w:w="2257"/>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Soutenance</w:t>
            </w:r>
          </w:p>
          <w:p>
            <w:pPr>
              <w:spacing w:after="80" w:before="0"/>
              <w:jc w:val="center"/>
            </w:pPr>
            <w:r>
              <w:rPr>
                <w:rFonts w:ascii="Arial" w:cs="Arial" w:eastAsia="Arial" w:hAnsi="Arial"/>
                <w:color w:val="333333"/>
                <w:sz w:val="20"/>
                <w:szCs w:val="20"/>
              </w:rPr>
              <w:t xml:space="preserve">50 min (20+30)</w:t>
            </w:r>
          </w:p>
        </w:tc>
        <w:tc>
          <w:tcPr>
            <w:tcW w:type="dxa" w:w="2257"/>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Jury</w:t>
            </w:r>
          </w:p>
          <w:p>
            <w:pPr>
              <w:spacing w:after="80" w:before="0"/>
              <w:jc w:val="center"/>
            </w:pPr>
            <w:r>
              <w:rPr>
                <w:rFonts w:ascii="Arial" w:cs="Arial" w:eastAsia="Arial" w:hAnsi="Arial"/>
                <w:color w:val="333333"/>
                <w:sz w:val="20"/>
                <w:szCs w:val="20"/>
              </w:rPr>
              <w:t xml:space="preserve">2 evaluateurs externes</w:t>
            </w:r>
          </w:p>
        </w:tc>
      </w:tr>
    </w:tbl>
    <w:p>
      <w:pPr>
        <w:spacing w:after="200" w:before="0"/>
      </w:pPr>
    </w:p>
    <w:p>
      <w:pPr>
        <w:pStyle w:val="Heading1"/>
        <w:pBdr>
          <w:bottom w:val="single" w:color="2E75B6" w:sz="6" w:space="4"/>
        </w:pBdr>
        <w:spacing w:after="120" w:before="300"/>
      </w:pPr>
      <w:r>
        <w:rPr>
          <w:rFonts w:ascii="Arial" w:cs="Arial" w:eastAsia="Arial" w:hAnsi="Arial"/>
          <w:b/>
          <w:bCs/>
          <w:color w:val="1E4D8C"/>
          <w:sz w:val="28"/>
          <w:szCs w:val="28"/>
        </w:rPr>
        <w:t xml:space="preserve">1. Contexte metier</w:t>
      </w:r>
    </w:p>
    <w:p>
      <w:pPr>
        <w:spacing w:after="120" w:before="0"/>
      </w:pPr>
      <w:r>
        <w:rPr>
          <w:rFonts w:ascii="Arial" w:cs="Arial" w:eastAsia="Arial" w:hAnsi="Arial"/>
          <w:color w:val="000000"/>
          <w:sz w:val="20"/>
          <w:szCs w:val="20"/>
        </w:rPr>
        <w:t xml:space="preserve">FutureKawa est une entreprise internationale de cafeiculture et de logistique de cafe vert, implantee au Bresil, en Equateur et en Colombie. Elle vend en B2B (torrfacteurs, marques, importateurs) et souffre d'un suivi semi-manuel de ses stocks, rendant difficiles la tracabilite et la gestion qualite.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Problemes actuels</w:t>
            </w:r>
          </w:p>
          <w:p>
            <w:pPr>
              <w:pStyle w:val="ListParagraph"/>
              <w:numPr>
                <w:ilvl w:val="0"/>
                <w:numId w:val="2"/>
              </w:numPr>
              <w:spacing w:after="60" w:before="0"/>
            </w:pPr>
            <w:r>
              <w:rPr>
                <w:rFonts w:ascii="Arial" w:cs="Arial" w:eastAsia="Arial" w:hAnsi="Arial"/>
                <w:color w:val="000000"/>
                <w:sz w:val="20"/>
                <w:szCs w:val="20"/>
              </w:rPr>
              <w:t xml:space="preserve">Suivi semi-manuel (tableurs, outils heterogenes)</w:t>
            </w:r>
          </w:p>
          <w:p>
            <w:pPr>
              <w:pStyle w:val="ListParagraph"/>
              <w:numPr>
                <w:ilvl w:val="0"/>
                <w:numId w:val="2"/>
              </w:numPr>
              <w:spacing w:after="60" w:before="0"/>
            </w:pPr>
            <w:r>
              <w:rPr>
                <w:rFonts w:ascii="Arial" w:cs="Arial" w:eastAsia="Arial" w:hAnsi="Arial"/>
                <w:color w:val="000000"/>
                <w:sz w:val="20"/>
                <w:szCs w:val="20"/>
              </w:rPr>
              <w:t xml:space="preserve">Conditions stockage variables selon entrepots</w:t>
            </w:r>
          </w:p>
          <w:p>
            <w:pPr>
              <w:pStyle w:val="ListParagraph"/>
              <w:numPr>
                <w:ilvl w:val="0"/>
                <w:numId w:val="2"/>
              </w:numPr>
              <w:spacing w:after="60" w:before="0"/>
            </w:pPr>
            <w:r>
              <w:rPr>
                <w:rFonts w:ascii="Arial" w:cs="Arial" w:eastAsia="Arial" w:hAnsi="Arial"/>
                <w:color w:val="000000"/>
                <w:sz w:val="20"/>
                <w:szCs w:val="20"/>
              </w:rPr>
              <w:t xml:space="preserve">Rotation FIFO peu fiable</w:t>
            </w:r>
          </w:p>
          <w:p>
            <w:pPr>
              <w:pStyle w:val="ListParagraph"/>
              <w:numPr>
                <w:ilvl w:val="0"/>
                <w:numId w:val="2"/>
              </w:numPr>
              <w:spacing w:after="60" w:before="0"/>
            </w:pPr>
            <w:r>
              <w:rPr>
                <w:rFonts w:ascii="Arial" w:cs="Arial" w:eastAsia="Arial" w:hAnsi="Arial"/>
                <w:color w:val="000000"/>
                <w:sz w:val="20"/>
                <w:szCs w:val="20"/>
              </w:rPr>
              <w:t xml:space="preserve">Tracabilite insuffisante pour les clients</w:t>
            </w:r>
          </w:p>
          <w:p>
            <w:pPr>
              <w:pStyle w:val="ListParagraph"/>
              <w:numPr>
                <w:ilvl w:val="0"/>
                <w:numId w:val="2"/>
              </w:numPr>
              <w:spacing w:after="60" w:before="0"/>
            </w:pPr>
            <w:r>
              <w:rPr>
                <w:rFonts w:ascii="Arial" w:cs="Arial" w:eastAsia="Arial" w:hAnsi="Arial"/>
                <w:color w:val="000000"/>
                <w:sz w:val="20"/>
                <w:szCs w:val="20"/>
              </w:rPr>
              <w:t xml:space="preserve">Taux de reclamation et pertes qualite</w:t>
            </w:r>
          </w:p>
        </w:tc>
        <w:tc>
          <w:tcPr>
            <w:tcW w:type="dxa" w:w="4413"/>
            <w:tcBorders>
              <w:top w:val="single" w:color="CCCCCC" w:sz="1"/>
              <w:left w:val="single" w:color="CCCCCC" w:sz="1"/>
              <w:bottom w:val="single" w:color="CCCCCC" w:sz="1"/>
              <w:right w:val="single" w:color="CCCCCC" w:sz="1"/>
            </w:tcBorders>
            <w:shd w:fill="EFF5FC"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Objectif du projet</w:t>
            </w:r>
          </w:p>
          <w:p>
            <w:pPr>
              <w:pStyle w:val="ListParagraph"/>
              <w:numPr>
                <w:ilvl w:val="0"/>
                <w:numId w:val="2"/>
              </w:numPr>
              <w:spacing w:after="60" w:before="0"/>
            </w:pPr>
            <w:r>
              <w:rPr>
                <w:rFonts w:ascii="Arial" w:cs="Arial" w:eastAsia="Arial" w:hAnsi="Arial"/>
                <w:color w:val="000000"/>
                <w:sz w:val="20"/>
                <w:szCs w:val="20"/>
              </w:rPr>
              <w:t xml:space="preserve">Centraliser le suivi des stocks par pays</w:t>
            </w:r>
          </w:p>
          <w:p>
            <w:pPr>
              <w:pStyle w:val="ListParagraph"/>
              <w:numPr>
                <w:ilvl w:val="0"/>
                <w:numId w:val="2"/>
              </w:numPr>
              <w:spacing w:after="60" w:before="0"/>
            </w:pPr>
            <w:r>
              <w:rPr>
                <w:rFonts w:ascii="Arial" w:cs="Arial" w:eastAsia="Arial" w:hAnsi="Arial"/>
                <w:color w:val="000000"/>
                <w:sz w:val="20"/>
                <w:szCs w:val="20"/>
              </w:rPr>
              <w:t xml:space="preserve">Surveiller temp./humidite via IoT en temps reel</w:t>
            </w:r>
          </w:p>
          <w:p>
            <w:pPr>
              <w:pStyle w:val="ListParagraph"/>
              <w:numPr>
                <w:ilvl w:val="0"/>
                <w:numId w:val="2"/>
              </w:numPr>
              <w:spacing w:after="60" w:before="0"/>
            </w:pPr>
            <w:r>
              <w:rPr>
                <w:rFonts w:ascii="Arial" w:cs="Arial" w:eastAsia="Arial" w:hAnsi="Arial"/>
                <w:color w:val="000000"/>
                <w:sz w:val="20"/>
                <w:szCs w:val="20"/>
              </w:rPr>
              <w:t xml:space="preserve">Detecter et alerter sur les derives</w:t>
            </w:r>
          </w:p>
          <w:p>
            <w:pPr>
              <w:pStyle w:val="ListParagraph"/>
              <w:numPr>
                <w:ilvl w:val="0"/>
                <w:numId w:val="2"/>
              </w:numPr>
              <w:spacing w:after="60" w:before="0"/>
            </w:pPr>
            <w:r>
              <w:rPr>
                <w:rFonts w:ascii="Arial" w:cs="Arial" w:eastAsia="Arial" w:hAnsi="Arial"/>
                <w:color w:val="000000"/>
                <w:sz w:val="20"/>
                <w:szCs w:val="20"/>
              </w:rPr>
              <w:t xml:space="preserve">Preparer l'automatisation des entrepots (phase 2)</w:t>
            </w:r>
          </w:p>
          <w:p>
            <w:pPr>
              <w:pStyle w:val="ListParagraph"/>
              <w:numPr>
                <w:ilvl w:val="0"/>
                <w:numId w:val="2"/>
              </w:numPr>
              <w:spacing w:after="60" w:before="0"/>
            </w:pPr>
            <w:r>
              <w:rPr>
                <w:rFonts w:ascii="Arial" w:cs="Arial" w:eastAsia="Arial" w:hAnsi="Arial"/>
                <w:color w:val="000000"/>
                <w:sz w:val="20"/>
                <w:szCs w:val="20"/>
              </w:rPr>
              <w:t xml:space="preserve">Architecture distribuee pays &lt;=&gt; siege</w:t>
            </w:r>
          </w:p>
        </w:tc>
      </w:tr>
    </w:tbl>
    <w:p>
      <w:pPr>
        <w:spacing w:after="100" w:before="0"/>
      </w:pPr>
    </w:p>
    <w:p>
      <w:pPr>
        <w:pStyle w:val="Heading1"/>
        <w:pBdr>
          <w:bottom w:val="single" w:color="2E75B6" w:sz="6" w:space="4"/>
        </w:pBdr>
        <w:spacing w:after="120" w:before="300"/>
      </w:pPr>
      <w:r>
        <w:rPr>
          <w:rFonts w:ascii="Arial" w:cs="Arial" w:eastAsia="Arial" w:hAnsi="Arial"/>
          <w:b/>
          <w:bCs/>
          <w:color w:val="1E4D8C"/>
          <w:sz w:val="28"/>
          <w:szCs w:val="28"/>
        </w:rPr>
        <w:t xml:space="preserve">2. Architecture imposee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FF5FC" w:val="clear"/>
            <w:tcMar>
              <w:top w:type="dxa" w:w="100"/>
              <w:left w:type="dxa" w:w="160"/>
              <w:bottom w:type="dxa" w:w="100"/>
              <w:right w:type="dxa" w:w="160"/>
            </w:tcMar>
            <w:vAlign w:val="top"/>
          </w:tcPr>
          <w:p>
            <w:pPr>
              <w:spacing w:after="60" w:before="0"/>
            </w:pPr>
            <w:r>
              <w:rPr>
                <w:rFonts w:ascii="Arial" w:cs="Arial" w:eastAsia="Arial" w:hAnsi="Arial"/>
                <w:b w:val="false"/>
                <w:bCs w:val="false"/>
                <w:color w:val="000000"/>
                <w:sz w:val="20"/>
                <w:szCs w:val="20"/>
              </w:rPr>
              <w:t xml:space="preserve">Chaque pays (Bresil, Equateur, Colombie) dispose d'un backend local contenerise comprenant :</w:t>
            </w:r>
          </w:p>
          <w:p>
            <w:pPr>
              <w:pStyle w:val="ListParagraph"/>
              <w:numPr>
                <w:ilvl w:val="0"/>
                <w:numId w:val="2"/>
              </w:numPr>
              <w:spacing w:after="60" w:before="0"/>
            </w:pPr>
            <w:r>
              <w:rPr>
                <w:rFonts w:ascii="Arial" w:cs="Arial" w:eastAsia="Arial" w:hAnsi="Arial"/>
                <w:color w:val="000000"/>
                <w:sz w:val="20"/>
                <w:szCs w:val="20"/>
              </w:rPr>
              <w:t xml:space="preserve">Une base de donnees SQL</w:t>
            </w:r>
          </w:p>
          <w:p>
            <w:pPr>
              <w:pStyle w:val="ListParagraph"/>
              <w:numPr>
                <w:ilvl w:val="0"/>
                <w:numId w:val="2"/>
              </w:numPr>
              <w:spacing w:after="60" w:before="0"/>
            </w:pPr>
            <w:r>
              <w:rPr>
                <w:rFonts w:ascii="Arial" w:cs="Arial" w:eastAsia="Arial" w:hAnsi="Arial"/>
                <w:color w:val="000000"/>
                <w:sz w:val="20"/>
                <w:szCs w:val="20"/>
              </w:rPr>
              <w:t xml:space="preserve">Un broker MQTT local (Mosquitto)</w:t>
            </w:r>
          </w:p>
          <w:p>
            <w:pPr>
              <w:pStyle w:val="ListParagraph"/>
              <w:numPr>
                <w:ilvl w:val="0"/>
                <w:numId w:val="2"/>
              </w:numPr>
              <w:spacing w:after="60" w:before="0"/>
            </w:pPr>
            <w:r>
              <w:rPr>
                <w:rFonts w:ascii="Arial" w:cs="Arial" w:eastAsia="Arial" w:hAnsi="Arial"/>
                <w:color w:val="000000"/>
                <w:sz w:val="20"/>
                <w:szCs w:val="20"/>
              </w:rPr>
              <w:t xml:space="preserve">Une API REST (gestion des lots + exposition des mesures)</w:t>
            </w:r>
          </w:p>
          <w:p>
            <w:pPr>
              <w:pStyle w:val="ListParagraph"/>
              <w:numPr>
                <w:ilvl w:val="0"/>
                <w:numId w:val="2"/>
              </w:numPr>
              <w:spacing w:after="60" w:before="0"/>
            </w:pPr>
            <w:r>
              <w:rPr>
                <w:rFonts w:ascii="Arial" w:cs="Arial" w:eastAsia="Arial" w:hAnsi="Arial"/>
                <w:color w:val="000000"/>
                <w:sz w:val="20"/>
                <w:szCs w:val="20"/>
              </w:rPr>
              <w:t xml:space="preserve">Un dispositif d'alerting (email + regles)</w:t>
            </w:r>
          </w:p>
          <w:p>
            <w:pPr>
              <w:spacing w:after="60" w:before="0"/>
            </w:pPr>
          </w:p>
          <w:p>
            <w:pPr>
              <w:spacing w:after="60" w:before="0"/>
            </w:pPr>
            <w:r>
              <w:rPr>
                <w:rFonts w:ascii="Arial" w:cs="Arial" w:eastAsia="Arial" w:hAnsi="Arial"/>
                <w:color w:val="000000"/>
                <w:sz w:val="20"/>
                <w:szCs w:val="20"/>
              </w:rPr>
              <w:t xml:space="preserve">Le siege dispose d'un backend central qui agrege les APIs pays et alimente le frontend Web.</w:t>
            </w:r>
          </w:p>
          <w:p>
            <w:pPr>
              <w:pStyle w:val="ListParagraph"/>
              <w:numPr>
                <w:ilvl w:val="0"/>
                <w:numId w:val="2"/>
              </w:numPr>
              <w:spacing w:after="60" w:before="0"/>
            </w:pPr>
            <w:r>
              <w:rPr>
                <w:rFonts w:ascii="Arial" w:cs="Arial" w:eastAsia="Arial" w:hAnsi="Arial"/>
                <w:color w:val="000000"/>
                <w:sz w:val="20"/>
                <w:szCs w:val="20"/>
              </w:rPr>
              <w:t xml:space="preserve">Justification des choix d'architecture obligatoire (microservices, resilience, decoupe)</w:t>
            </w:r>
          </w:p>
        </w:tc>
      </w:tr>
    </w:tbl>
    <w:p>
      <w:pPr>
        <w:spacing w:after="100" w:before="0"/>
      </w:pPr>
    </w:p>
    <w:p>
      <w:pPr>
        <w:pStyle w:val="Heading1"/>
        <w:pBdr>
          <w:bottom w:val="single" w:color="2E75B6" w:sz="6" w:space="4"/>
        </w:pBdr>
        <w:spacing w:after="120" w:before="300"/>
      </w:pPr>
      <w:r>
        <w:rPr>
          <w:rFonts w:ascii="Arial" w:cs="Arial" w:eastAsia="Arial" w:hAnsi="Arial"/>
          <w:b/>
          <w:bCs/>
          <w:color w:val="1E4D8C"/>
          <w:sz w:val="28"/>
          <w:szCs w:val="28"/>
        </w:rPr>
        <w:t xml:space="preserve">3. Regles metier a implementer</w:t>
      </w:r>
    </w:p>
    <w:p>
      <w:pPr>
        <w:pStyle w:val="Heading2"/>
        <w:spacing w:after="80" w:before="200"/>
      </w:pPr>
      <w:r>
        <w:rPr>
          <w:rFonts w:ascii="Arial" w:cs="Arial" w:eastAsia="Arial" w:hAnsi="Arial"/>
          <w:b/>
          <w:bCs/>
          <w:color w:val="2E75B6"/>
          <w:sz w:val="22"/>
          <w:szCs w:val="22"/>
        </w:rPr>
        <w:t xml:space="preserve">Seuils IoT par pays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Pays</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Temperature ideale</w:t>
            </w:r>
          </w:p>
        </w:tc>
        <w:tc>
          <w:tcPr>
            <w:tcW w:type="dxa" w:w="2257"/>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Humidite ideale</w:t>
            </w:r>
          </w:p>
        </w:tc>
        <w:tc>
          <w:tcPr>
            <w:tcW w:type="dxa" w:w="2257"/>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Tolerances</w:t>
            </w:r>
          </w:p>
        </w:tc>
      </w:tr>
      <w:tr>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Bresil</w:t>
            </w:r>
          </w:p>
        </w:tc>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29 degC</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55 %</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+/-3 degC / +/-2 %</w:t>
            </w:r>
          </w:p>
        </w:tc>
      </w:tr>
      <w:tr>
        <w:tc>
          <w:tcPr>
            <w:tcW w:type="dxa" w:w="225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Equateur</w:t>
            </w:r>
          </w:p>
        </w:tc>
        <w:tc>
          <w:tcPr>
            <w:tcW w:type="dxa" w:w="225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31 degC</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60 %</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+/-3 degC / +/-2 %</w:t>
            </w:r>
          </w:p>
        </w:tc>
      </w:tr>
      <w:tr>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Colombie</w:t>
            </w:r>
          </w:p>
        </w:tc>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26 degC</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80 %</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+/-3 degC / +/-2 %</w:t>
            </w:r>
          </w:p>
        </w:tc>
      </w:tr>
    </w:tbl>
    <w:p>
      <w:pPr>
        <w:spacing w:after="120" w:before="0"/>
      </w:pPr>
    </w:p>
    <w:p>
      <w:pPr>
        <w:pStyle w:val="Heading2"/>
        <w:spacing w:after="80" w:before="200"/>
      </w:pPr>
      <w:r>
        <w:rPr>
          <w:rFonts w:ascii="Arial" w:cs="Arial" w:eastAsia="Arial" w:hAnsi="Arial"/>
          <w:b/>
          <w:bCs/>
          <w:color w:val="2E75B6"/>
          <w:sz w:val="22"/>
          <w:szCs w:val="22"/>
        </w:rPr>
        <w:t xml:space="preserve">Alertes automatiques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4E0" w:val="clear"/>
            <w:tcMar>
              <w:top w:type="dxa" w:w="100"/>
              <w:left w:type="dxa" w:w="160"/>
              <w:bottom w:type="dxa" w:w="100"/>
              <w:right w:type="dxa" w:w="160"/>
            </w:tcMar>
            <w:vAlign w:val="top"/>
          </w:tcPr>
          <w:p>
            <w:pPr>
              <w:pStyle w:val="ListParagraph"/>
              <w:numPr>
                <w:ilvl w:val="0"/>
                <w:numId w:val="2"/>
              </w:numPr>
              <w:spacing w:after="60" w:before="0"/>
            </w:pPr>
            <w:r>
              <w:rPr>
                <w:rFonts w:ascii="Arial" w:cs="Arial" w:eastAsia="Arial" w:hAnsi="Arial"/>
                <w:color w:val="000000"/>
                <w:sz w:val="20"/>
                <w:szCs w:val="20"/>
              </w:rPr>
              <w:t xml:space="preserve">Conditions hors plage (temperature ou humidite) → email au responsable d'exploitation du pays</w:t>
            </w:r>
          </w:p>
          <w:p>
            <w:pPr>
              <w:pStyle w:val="ListParagraph"/>
              <w:numPr>
                <w:ilvl w:val="0"/>
                <w:numId w:val="2"/>
              </w:numPr>
              <w:spacing w:after="60" w:before="0"/>
            </w:pPr>
            <w:r>
              <w:rPr>
                <w:rFonts w:ascii="Arial" w:cs="Arial" w:eastAsia="Arial" w:hAnsi="Arial"/>
                <w:color w:val="000000"/>
                <w:sz w:val="20"/>
                <w:szCs w:val="20"/>
              </w:rPr>
              <w:t xml:space="preserve">Lot stocke depuis plus de 365 jours → email au responsable d'exploitation</w:t>
            </w:r>
          </w:p>
          <w:p>
            <w:pPr>
              <w:pStyle w:val="ListParagraph"/>
              <w:numPr>
                <w:ilvl w:val="0"/>
                <w:numId w:val="2"/>
              </w:numPr>
              <w:spacing w:after="60" w:before="0"/>
            </w:pPr>
            <w:r>
              <w:rPr>
                <w:rFonts w:ascii="Arial" w:cs="Arial" w:eastAsia="Arial" w:hAnsi="Arial"/>
                <w:color w:val="000000"/>
                <w:sz w:val="20"/>
                <w:szCs w:val="20"/>
              </w:rPr>
              <w:t xml:space="preserve">Documenter : regles, seuils, frequence de verification, contenu des emails</w:t>
            </w:r>
          </w:p>
        </w:tc>
      </w:tr>
    </w:tbl>
    <w:p>
      <w:pPr>
        <w:spacing w:after="120" w:before="0"/>
      </w:pPr>
    </w:p>
    <w:p>
      <w:pPr>
        <w:pStyle w:val="Heading2"/>
        <w:spacing w:after="80" w:before="200"/>
      </w:pPr>
      <w:r>
        <w:rPr>
          <w:rFonts w:ascii="Arial" w:cs="Arial" w:eastAsia="Arial" w:hAnsi="Arial"/>
          <w:b/>
          <w:bCs/>
          <w:color w:val="2E75B6"/>
          <w:sz w:val="22"/>
          <w:szCs w:val="22"/>
        </w:rPr>
        <w:t xml:space="preserve">Tracabilite des 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C" w:val="clear"/>
            <w:tcMar>
              <w:top w:type="dxa" w:w="100"/>
              <w:left w:type="dxa" w:w="160"/>
              <w:bottom w:type="dxa" w:w="100"/>
              <w:right w:type="dxa" w:w="160"/>
            </w:tcMar>
            <w:vAlign w:val="top"/>
          </w:tcPr>
          <w:p>
            <w:pPr>
              <w:pStyle w:val="ListParagraph"/>
              <w:numPr>
                <w:ilvl w:val="0"/>
                <w:numId w:val="2"/>
              </w:numPr>
              <w:spacing w:after="60" w:before="0"/>
            </w:pPr>
            <w:r>
              <w:rPr>
                <w:rFonts w:ascii="Arial" w:cs="Arial" w:eastAsia="Arial" w:hAnsi="Arial"/>
                <w:color w:val="000000"/>
                <w:sz w:val="20"/>
                <w:szCs w:val="20"/>
              </w:rPr>
              <w:t xml:space="preserve">Id unique par lot</w:t>
            </w:r>
          </w:p>
          <w:p>
            <w:pPr>
              <w:pStyle w:val="ListParagraph"/>
              <w:numPr>
                <w:ilvl w:val="0"/>
                <w:numId w:val="2"/>
              </w:numPr>
              <w:spacing w:after="60" w:before="0"/>
            </w:pPr>
            <w:r>
              <w:rPr>
                <w:rFonts w:ascii="Arial" w:cs="Arial" w:eastAsia="Arial" w:hAnsi="Arial"/>
                <w:color w:val="000000"/>
                <w:sz w:val="20"/>
                <w:szCs w:val="20"/>
              </w:rPr>
              <w:t xml:space="preserve">Pays / exploitation / entrepot</w:t>
            </w:r>
          </w:p>
          <w:p>
            <w:pPr>
              <w:pStyle w:val="ListParagraph"/>
              <w:numPr>
                <w:ilvl w:val="0"/>
                <w:numId w:val="2"/>
              </w:numPr>
              <w:spacing w:after="60" w:before="0"/>
            </w:pPr>
            <w:r>
              <w:rPr>
                <w:rFonts w:ascii="Arial" w:cs="Arial" w:eastAsia="Arial" w:hAnsi="Arial"/>
                <w:color w:val="000000"/>
                <w:sz w:val="20"/>
                <w:szCs w:val="20"/>
              </w:rPr>
              <w:t xml:space="preserve">Date de stockage (entree en entrepot)</w:t>
            </w:r>
          </w:p>
          <w:p>
            <w:pPr>
              <w:pStyle w:val="ListParagraph"/>
              <w:numPr>
                <w:ilvl w:val="0"/>
                <w:numId w:val="2"/>
              </w:numPr>
              <w:spacing w:after="60" w:before="0"/>
            </w:pPr>
            <w:r>
              <w:rPr>
                <w:rFonts w:ascii="Arial" w:cs="Arial" w:eastAsia="Arial" w:hAnsi="Arial"/>
                <w:color w:val="000000"/>
                <w:sz w:val="20"/>
                <w:szCs w:val="20"/>
              </w:rPr>
              <w:t xml:space="preserve">Statut : conforme / en alerte / perime</w:t>
            </w:r>
          </w:p>
          <w:p>
            <w:pPr>
              <w:pStyle w:val="ListParagraph"/>
              <w:numPr>
                <w:ilvl w:val="0"/>
                <w:numId w:val="2"/>
              </w:numPr>
              <w:spacing w:after="60" w:before="0"/>
            </w:pPr>
            <w:r>
              <w:rPr>
                <w:rFonts w:ascii="Arial" w:cs="Arial" w:eastAsia="Arial" w:hAnsi="Arial"/>
                <w:color w:val="000000"/>
                <w:sz w:val="20"/>
                <w:szCs w:val="20"/>
              </w:rPr>
              <w:t xml:space="preserve">Tri et consultation par date de stockage (logique FIFO obligatoire)</w:t>
            </w:r>
          </w:p>
        </w:tc>
      </w:tr>
    </w:tbl>
    <w:p>
      <w:pPr>
        <w:spacing w:after="100" w:before="0"/>
      </w:pPr>
    </w:p>
    <w:p>
      <w:pPr>
        <w:pStyle w:val="Heading1"/>
        <w:pBdr>
          <w:bottom w:val="single" w:color="2E75B6" w:sz="6" w:space="4"/>
        </w:pBdr>
        <w:spacing w:after="120" w:before="300"/>
      </w:pPr>
      <w:r>
        <w:rPr>
          <w:rFonts w:ascii="Arial" w:cs="Arial" w:eastAsia="Arial" w:hAnsi="Arial"/>
          <w:b/>
          <w:bCs/>
          <w:color w:val="1E4D8C"/>
          <w:sz w:val="28"/>
          <w:szCs w:val="28"/>
        </w:rPr>
        <w:t xml:space="preserve">4. Livrables obligatoires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1</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Backend pays exemple contenerise</w:t>
            </w:r>
          </w:p>
          <w:p>
            <w:pPr>
              <w:spacing w:after="0" w:before="0"/>
            </w:pPr>
            <w:r>
              <w:rPr>
                <w:rFonts w:ascii="Arial" w:cs="Arial" w:eastAsia="Arial" w:hAnsi="Arial"/>
                <w:color w:val="000000"/>
                <w:sz w:val="20"/>
                <w:szCs w:val="20"/>
              </w:rPr>
              <w:t xml:space="preserve">API REST + BDD SQL + MQTT + alertes email. Demarrable via docker compose up + documentation.</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2</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Backend central siege + Frontend Web</w:t>
            </w:r>
          </w:p>
          <w:p>
            <w:pPr>
              <w:spacing w:after="0" w:before="0"/>
            </w:pPr>
            <w:r>
              <w:rPr>
                <w:rFonts w:ascii="Arial" w:cs="Arial" w:eastAsia="Arial" w:hAnsi="Arial"/>
                <w:color w:val="000000"/>
                <w:sz w:val="20"/>
                <w:szCs w:val="20"/>
              </w:rPr>
              <w:t xml:space="preserve">Consolide stocks/mesures/alertes de tous les pays. Interface de consultation FIFO + courbes temp/humidite.</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3</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Prototype IoT fonctionnel</w:t>
            </w:r>
          </w:p>
          <w:p>
            <w:pPr>
              <w:spacing w:after="0" w:before="0"/>
            </w:pPr>
            <w:r>
              <w:rPr>
                <w:rFonts w:ascii="Arial" w:cs="Arial" w:eastAsia="Arial" w:hAnsi="Arial"/>
                <w:color w:val="000000"/>
                <w:sz w:val="20"/>
                <w:szCs w:val="20"/>
              </w:rPr>
              <w:t xml:space="preserve">Microcontroleur + capteur DHT, publication MQTT, donnees persistees. Demo live ou scenario reproductible.</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4</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Documentation technique</w:t>
            </w:r>
          </w:p>
          <w:p>
            <w:pPr>
              <w:spacing w:after="0" w:before="0"/>
            </w:pPr>
            <w:r>
              <w:rPr>
                <w:rFonts w:ascii="Arial" w:cs="Arial" w:eastAsia="Arial" w:hAnsi="Arial"/>
                <w:color w:val="000000"/>
                <w:sz w:val="20"/>
                <w:szCs w:val="20"/>
              </w:rPr>
              <w:t xml:space="preserve">Architecture globale, conception IoT (cablage, topics MQTT, payload), plans de tests detailles.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5</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Pipelines CI/CD Jenkins</w:t>
            </w:r>
          </w:p>
          <w:p>
            <w:pPr>
              <w:spacing w:after="0" w:before="0"/>
            </w:pPr>
            <w:r>
              <w:rPr>
                <w:rFonts w:ascii="Arial" w:cs="Arial" w:eastAsia="Arial" w:hAnsi="Arial"/>
                <w:color w:val="000000"/>
                <w:sz w:val="20"/>
                <w:szCs w:val="20"/>
              </w:rPr>
              <w:t xml:space="preserve">Build, tests automatises, qualite, packaging Docker. Jenkinsfile + preuve d'execution.</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6</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Tests lançables manuellement</w:t>
            </w:r>
          </w:p>
          <w:p>
            <w:pPr>
              <w:spacing w:after="0" w:before="0"/>
            </w:pPr>
            <w:r>
              <w:rPr>
                <w:rFonts w:ascii="Arial" w:cs="Arial" w:eastAsia="Arial" w:hAnsi="Arial"/>
                <w:color w:val="000000"/>
                <w:sz w:val="20"/>
                <w:szCs w:val="20"/>
              </w:rPr>
              <w:t xml:space="preserve">Commandes simples, documentation, resultats lisibles (logs/rapport).</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7</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Repository Git</w:t>
            </w:r>
          </w:p>
          <w:p>
            <w:pPr>
              <w:spacing w:after="0" w:before="0"/>
            </w:pPr>
            <w:r>
              <w:rPr>
                <w:rFonts w:ascii="Arial" w:cs="Arial" w:eastAsia="Arial" w:hAnsi="Arial"/>
                <w:color w:val="000000"/>
                <w:sz w:val="20"/>
                <w:szCs w:val="20"/>
              </w:rPr>
              <w:t xml:space="preserve">Tout le code versionne, structure de branches coherente, README de prise en main.</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8</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Documentation utilisateur metier</w:t>
            </w:r>
          </w:p>
          <w:p>
            <w:pPr>
              <w:spacing w:after="0" w:before="0"/>
            </w:pPr>
            <w:r>
              <w:rPr>
                <w:rFonts w:ascii="Arial" w:cs="Arial" w:eastAsia="Arial" w:hAnsi="Arial"/>
                <w:color w:val="000000"/>
                <w:sz w:val="20"/>
                <w:szCs w:val="20"/>
              </w:rPr>
              <w:t xml:space="preserve">Guide interface Web, creation/consultation lots, lecture courbes, comprehension des alertes, FAQ.</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9</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Schema d'automatisation (phase 2)</w:t>
            </w:r>
          </w:p>
          <w:p>
            <w:pPr>
              <w:spacing w:after="0" w:before="0"/>
            </w:pPr>
            <w:r>
              <w:rPr>
                <w:rFonts w:ascii="Arial" w:cs="Arial" w:eastAsia="Arial" w:hAnsi="Arial"/>
                <w:color w:val="000000"/>
                <w:sz w:val="20"/>
                <w:szCs w:val="20"/>
              </w:rPr>
              <w:t xml:space="preserve">Capteurs → decision → actionneurs (chauffage, humidification, aeration), cas nominal/degrade, securites.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top"/>
          </w:tcPr>
          <w:p>
            <w:pPr>
              <w:spacing w:after="80" w:before="0"/>
              <w:jc w:val="center"/>
            </w:pPr>
            <w:r>
              <w:rPr>
                <w:rFonts w:ascii="Arial" w:cs="Arial" w:eastAsia="Arial" w:hAnsi="Arial"/>
                <w:b/>
                <w:bCs/>
                <w:color w:val="FFFFFF"/>
                <w:sz w:val="20"/>
                <w:szCs w:val="20"/>
              </w:rPr>
              <w:t xml:space="preserve">10</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Questionnaire interview phase 2</w:t>
            </w:r>
          </w:p>
          <w:p>
            <w:pPr>
              <w:spacing w:after="0" w:before="0"/>
            </w:pPr>
            <w:r>
              <w:rPr>
                <w:rFonts w:ascii="Arial" w:cs="Arial" w:eastAsia="Arial" w:hAnsi="Arial"/>
                <w:color w:val="000000"/>
                <w:sz w:val="20"/>
                <w:szCs w:val="20"/>
              </w:rPr>
              <w:t xml:space="preserve">Objectifs, contraintes, tolerances, risques, priorites pour cadrer l'automatisation future.</w:t>
            </w:r>
          </w:p>
        </w:tc>
      </w:tr>
    </w:tbl>
    <w:p>
      <w:pPr>
        <w:spacing w:after="100" w:before="0"/>
      </w:pPr>
    </w:p>
    <w:p>
      <w:pPr>
        <w:pStyle w:val="Heading1"/>
        <w:pBdr>
          <w:bottom w:val="single" w:color="2E75B6" w:sz="6" w:space="4"/>
        </w:pBdr>
        <w:spacing w:after="120" w:before="300"/>
      </w:pPr>
      <w:r>
        <w:rPr>
          <w:rFonts w:ascii="Arial" w:cs="Arial" w:eastAsia="Arial" w:hAnsi="Arial"/>
          <w:b/>
          <w:bCs/>
          <w:color w:val="1E4D8C"/>
          <w:sz w:val="28"/>
          <w:szCs w:val="28"/>
        </w:rPr>
        <w:t xml:space="preserve">5.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Composant</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Outil</w:t>
            </w:r>
          </w:p>
        </w:tc>
        <w:tc>
          <w:tcPr>
            <w:tcW w:type="dxa" w:w="2257"/>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Composant</w:t>
            </w:r>
          </w:p>
        </w:tc>
        <w:tc>
          <w:tcPr>
            <w:tcW w:type="dxa" w:w="2257"/>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pPr>
            <w:r>
              <w:rPr>
                <w:rFonts w:ascii="Arial" w:cs="Arial" w:eastAsia="Arial" w:hAnsi="Arial"/>
                <w:b/>
                <w:bCs/>
                <w:color w:val="1E4D8C"/>
                <w:sz w:val="20"/>
                <w:szCs w:val="20"/>
              </w:rPr>
              <w:t xml:space="preserve">Outil</w:t>
            </w:r>
          </w:p>
        </w:tc>
      </w:tr>
      <w:tr>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IoT hardware</w:t>
            </w:r>
          </w:p>
        </w:tc>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ESP32 + DHT11/22</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Base de donnees</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PostgreSQL / MariaDB</w:t>
            </w:r>
          </w:p>
        </w:tc>
      </w:tr>
      <w:tr>
        <w:tc>
          <w:tcPr>
            <w:tcW w:type="dxa" w:w="225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Broker MQTT</w:t>
            </w:r>
          </w:p>
        </w:tc>
        <w:tc>
          <w:tcPr>
            <w:tcW w:type="dxa" w:w="225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Mosquitto (Docker)</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Alerting / orches.</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Node-RED</w:t>
            </w:r>
          </w:p>
        </w:tc>
      </w:tr>
      <w:tr>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Conteneurisation</w:t>
            </w:r>
          </w:p>
        </w:tc>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Docker / Docker Compose</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Frontend</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React + Chart.js</w:t>
            </w:r>
          </w:p>
        </w:tc>
      </w:tr>
      <w:tr>
        <w:tc>
          <w:tcPr>
            <w:tcW w:type="dxa" w:w="225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CI/CD</w:t>
            </w:r>
          </w:p>
        </w:tc>
        <w:tc>
          <w:tcPr>
            <w:tcW w:type="dxa" w:w="225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Jenkins (Jenkinsfile)</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API</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REST + OpenAPI/Swagger</w:t>
            </w:r>
          </w:p>
        </w:tc>
      </w:tr>
      <w:tr>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Programmation IoT</w:t>
            </w:r>
          </w:p>
        </w:tc>
        <w:tc>
          <w:tcPr>
            <w:tcW w:type="dxa" w:w="2256"/>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MicroPython ou Arduino</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Securite</w:t>
            </w:r>
          </w:p>
        </w:tc>
        <w:tc>
          <w:tcPr>
            <w:tcW w:type="dxa" w:w="2257"/>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after="80" w:before="0"/>
            </w:pPr>
            <w:r>
              <w:rPr>
                <w:rFonts w:ascii="Arial" w:cs="Arial" w:eastAsia="Arial" w:hAnsi="Arial"/>
                <w:color w:val="000000"/>
                <w:sz w:val="20"/>
                <w:szCs w:val="20"/>
              </w:rPr>
              <w:t xml:space="preserve">OWASP API Top 10</w:t>
            </w:r>
          </w:p>
        </w:tc>
      </w:tr>
    </w:tbl>
    <w:p>
      <w:pPr>
        <w:spacing w:after="100" w:before="0"/>
      </w:pPr>
    </w:p>
    <w:p>
      <w:pPr>
        <w:pStyle w:val="Heading1"/>
        <w:pBdr>
          <w:bottom w:val="single" w:color="2E75B6" w:sz="6" w:space="4"/>
        </w:pBdr>
        <w:spacing w:after="120" w:before="300"/>
      </w:pPr>
      <w:r>
        <w:rPr>
          <w:rFonts w:ascii="Arial" w:cs="Arial" w:eastAsia="Arial" w:hAnsi="Arial"/>
          <w:b/>
          <w:bCs/>
          <w:color w:val="1E4D8C"/>
          <w:sz w:val="28"/>
          <w:szCs w:val="28"/>
        </w:rPr>
        <w:t xml:space="preserve">6. Points de vigilance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vAlign w:val="top"/>
          </w:tcPr>
          <w:p>
            <w:pPr>
              <w:spacing w:after="80" w:before="0"/>
            </w:pPr>
            <w:r>
              <w:rPr>
                <w:rFonts w:ascii="Arial" w:cs="Arial" w:eastAsia="Arial" w:hAnsi="Arial"/>
                <w:b/>
                <w:bCs/>
                <w:color w:val="9B2335"/>
                <w:sz w:val="20"/>
                <w:szCs w:val="20"/>
              </w:rPr>
              <w:t xml:space="preserve">Justification de l'architecture obligatoire</w:t>
            </w:r>
          </w:p>
          <w:p>
            <w:pPr>
              <w:spacing w:after="100" w:before="0"/>
            </w:pPr>
            <w:r>
              <w:rPr>
                <w:rFonts w:ascii="Arial" w:cs="Arial" w:eastAsia="Arial" w:hAnsi="Arial"/>
                <w:color w:val="000000"/>
                <w:sz w:val="20"/>
                <w:szCs w:val="20"/>
              </w:rPr>
              <w:t xml:space="preserve">Le jury attend une argumentation sur le decoupage microservices, la resilience et la tolerance aux pannes. Ne pas juste dessiner un schema — expliquer pourquoi.</w:t>
            </w:r>
          </w:p>
          <w:p>
            <w:pPr>
              <w:spacing w:after="80" w:before="0"/>
            </w:pPr>
            <w:r>
              <w:rPr>
                <w:rFonts w:ascii="Arial" w:cs="Arial" w:eastAsia="Arial" w:hAnsi="Arial"/>
                <w:b/>
                <w:bCs/>
                <w:color w:val="9B2335"/>
                <w:sz w:val="20"/>
                <w:szCs w:val="20"/>
              </w:rPr>
              <w:t xml:space="preserve">Prototype IoT = fonctionnel, pas simule</w:t>
            </w:r>
          </w:p>
          <w:p>
            <w:pPr>
              <w:spacing w:after="100" w:before="0"/>
            </w:pPr>
            <w:r>
              <w:rPr>
                <w:rFonts w:ascii="Arial" w:cs="Arial" w:eastAsia="Arial" w:hAnsi="Arial"/>
                <w:color w:val="000000"/>
                <w:sz w:val="20"/>
                <w:szCs w:val="20"/>
              </w:rPr>
              <w:t xml:space="preserve">Preuve de fonctionnement live ou scenario reproductible obligatoire. Un simple screenshot ne suffit pas.</w:t>
            </w:r>
          </w:p>
          <w:p>
            <w:pPr>
              <w:spacing w:after="80" w:before="0"/>
            </w:pPr>
            <w:r>
              <w:rPr>
                <w:rFonts w:ascii="Arial" w:cs="Arial" w:eastAsia="Arial" w:hAnsi="Arial"/>
                <w:b/>
                <w:bCs/>
                <w:color w:val="9B2335"/>
                <w:sz w:val="20"/>
                <w:szCs w:val="20"/>
              </w:rPr>
              <w:t xml:space="preserve">CI/CD Jenkins : Jenkinsfile + preuve d'execution</w:t>
            </w:r>
          </w:p>
          <w:p>
            <w:pPr>
              <w:spacing w:after="100" w:before="0"/>
            </w:pPr>
            <w:r>
              <w:rPr>
                <w:rFonts w:ascii="Arial" w:cs="Arial" w:eastAsia="Arial" w:hAnsi="Arial"/>
                <w:color w:val="000000"/>
                <w:sz w:val="20"/>
                <w:szCs w:val="20"/>
              </w:rPr>
              <w:t xml:space="preserve">Le fichier Jenkinsfile seul ne suffit pas. Fournir des logs ou captures de pipeline reellement execute.</w:t>
            </w:r>
          </w:p>
          <w:p>
            <w:pPr>
              <w:spacing w:after="80" w:before="0"/>
            </w:pPr>
            <w:r>
              <w:rPr>
                <w:rFonts w:ascii="Arial" w:cs="Arial" w:eastAsia="Arial" w:hAnsi="Arial"/>
                <w:b/>
                <w:bCs/>
                <w:color w:val="9B2335"/>
                <w:sz w:val="20"/>
                <w:szCs w:val="20"/>
              </w:rPr>
              <w:t xml:space="preserve">Double niveau de documentation</w:t>
            </w:r>
          </w:p>
          <w:p>
            <w:pPr>
              <w:spacing w:after="100" w:before="0"/>
            </w:pPr>
            <w:r>
              <w:rPr>
                <w:rFonts w:ascii="Arial" w:cs="Arial" w:eastAsia="Arial" w:hAnsi="Arial"/>
                <w:color w:val="000000"/>
                <w:sz w:val="20"/>
                <w:szCs w:val="20"/>
              </w:rPr>
              <w:t xml:space="preserve">Technique (pour le jury et la DSI) ET utilisateur metier (pour les equipes terrain/entrepot). Deux audiences distinctes.</w:t>
            </w:r>
          </w:p>
          <w:p>
            <w:pPr>
              <w:spacing w:after="80" w:before="0"/>
            </w:pPr>
            <w:r>
              <w:rPr>
                <w:rFonts w:ascii="Arial" w:cs="Arial" w:eastAsia="Arial" w:hAnsi="Arial"/>
                <w:b/>
                <w:bCs/>
                <w:color w:val="9B2335"/>
                <w:sz w:val="20"/>
                <w:szCs w:val="20"/>
              </w:rPr>
              <w:t xml:space="preserve">Contraintes terrain</w:t>
            </w:r>
          </w:p>
          <w:p>
            <w:pPr>
              <w:spacing w:after="100" w:before="0"/>
            </w:pPr>
            <w:r>
              <w:rPr>
                <w:rFonts w:ascii="Arial" w:cs="Arial" w:eastAsia="Arial" w:hAnsi="Arial"/>
                <w:color w:val="000000"/>
                <w:sz w:val="20"/>
                <w:szCs w:val="20"/>
              </w:rPr>
              <w:t xml:space="preserve">La solution doit fonctionner avec reseau variable et materiel limite. Prevoir robustesse et gestion des erreurs (reconnexion MQTT, fallback, logs).</w:t>
            </w:r>
          </w:p>
          <w:p>
            <w:pPr>
              <w:spacing w:after="80" w:before="0"/>
            </w:pPr>
            <w:r>
              <w:rPr>
                <w:rFonts w:ascii="Arial" w:cs="Arial" w:eastAsia="Arial" w:hAnsi="Arial"/>
                <w:b/>
                <w:bCs/>
                <w:color w:val="9B2335"/>
                <w:sz w:val="20"/>
                <w:szCs w:val="20"/>
              </w:rPr>
              <w:t xml:space="preserve">Soutenance = 1/3 de l'evaluation</w:t>
            </w:r>
          </w:p>
          <w:p>
            <w:pPr>
              <w:spacing w:after="0" w:before="0"/>
            </w:pPr>
            <w:r>
              <w:rPr>
                <w:rFonts w:ascii="Arial" w:cs="Arial" w:eastAsia="Arial" w:hAnsi="Arial"/>
                <w:color w:val="000000"/>
                <w:sz w:val="20"/>
                <w:szCs w:val="20"/>
              </w:rPr>
              <w:t xml:space="preserve">Qualite du travail + livrables + oral. Chaque membre doit pouvoir justifier l'ensemble des choix techniques devant un jury externe (30 min de questions).</w:t>
            </w:r>
          </w:p>
        </w:tc>
      </w:tr>
    </w:tbl>
    <w:p>
      <w:pPr>
        <w:spacing w:after="100" w:before="0"/>
      </w:pPr>
    </w:p>
    <w:p>
      <w:pPr>
        <w:pStyle w:val="Heading1"/>
        <w:pBdr>
          <w:bottom w:val="single" w:color="2E75B6" w:sz="6" w:space="4"/>
        </w:pBdr>
        <w:spacing w:after="120" w:before="300"/>
      </w:pPr>
      <w:r>
        <w:rPr>
          <w:rFonts w:ascii="Arial" w:cs="Arial" w:eastAsia="Arial" w:hAnsi="Arial"/>
          <w:b/>
          <w:bCs/>
          <w:color w:val="1E4D8C"/>
          <w:sz w:val="28"/>
          <w:szCs w:val="28"/>
        </w:rPr>
        <w:t xml:space="preserve">7. Criteres d'evaluation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Qualite du travail realise</w:t>
            </w:r>
          </w:p>
          <w:p>
            <w:pPr>
              <w:spacing w:after="80" w:before="0"/>
              <w:jc w:val="center"/>
            </w:pPr>
            <w:r>
              <w:rPr>
                <w:rFonts w:ascii="Arial" w:cs="Arial" w:eastAsia="Arial" w:hAnsi="Arial"/>
                <w:color w:val="444444"/>
                <w:sz w:val="20"/>
                <w:szCs w:val="20"/>
              </w:rPr>
              <w:t xml:space="preserve">Code, architecture, tests, CI/CD</w:t>
            </w:r>
          </w:p>
        </w:tc>
        <w:tc>
          <w:tcPr>
            <w:tcW w:type="dxa" w:w="3009"/>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Pertinence des livrables</w:t>
            </w:r>
          </w:p>
          <w:p>
            <w:pPr>
              <w:spacing w:after="80" w:before="0"/>
              <w:jc w:val="center"/>
            </w:pPr>
            <w:r>
              <w:rPr>
                <w:rFonts w:ascii="Arial" w:cs="Arial" w:eastAsia="Arial" w:hAnsi="Arial"/>
                <w:color w:val="444444"/>
                <w:sz w:val="20"/>
                <w:szCs w:val="20"/>
              </w:rPr>
              <w:t xml:space="preserve">Exhaustivite, coherence, documentation</w:t>
            </w:r>
          </w:p>
        </w:tc>
        <w:tc>
          <w:tcPr>
            <w:tcW w:type="dxa" w:w="3009"/>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vAlign w:val="top"/>
          </w:tcPr>
          <w:p>
            <w:pPr>
              <w:spacing w:after="80" w:before="0"/>
              <w:jc w:val="center"/>
            </w:pPr>
            <w:r>
              <w:rPr>
                <w:rFonts w:ascii="Arial" w:cs="Arial" w:eastAsia="Arial" w:hAnsi="Arial"/>
                <w:b/>
                <w:bCs/>
                <w:color w:val="1E4D8C"/>
                <w:sz w:val="20"/>
                <w:szCs w:val="20"/>
              </w:rPr>
              <w:t xml:space="preserve">Capacite a presenter</w:t>
            </w:r>
          </w:p>
          <w:p>
            <w:pPr>
              <w:spacing w:after="80" w:before="0"/>
              <w:jc w:val="center"/>
            </w:pPr>
            <w:r>
              <w:rPr>
                <w:rFonts w:ascii="Arial" w:cs="Arial" w:eastAsia="Arial" w:hAnsi="Arial"/>
                <w:color w:val="444444"/>
                <w:sz w:val="20"/>
                <w:szCs w:val="20"/>
              </w:rPr>
              <w:t xml:space="preserve">Justification, communication client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C" w:val="clear"/>
            <w:tcMar>
              <w:top w:type="dxa" w:w="100"/>
              <w:left w:type="dxa" w:w="160"/>
              <w:bottom w:type="dxa" w:w="100"/>
              <w:right w:type="dxa" w:w="160"/>
            </w:tcMar>
            <w:vAlign w:val="top"/>
          </w:tcPr>
          <w:p>
            <w:pPr>
              <w:spacing w:after="80" w:before="0"/>
            </w:pPr>
            <w:r>
              <w:rPr>
                <w:rFonts w:ascii="Arial" w:cs="Arial" w:eastAsia="Arial" w:hAnsi="Arial"/>
                <w:b/>
                <w:bCs/>
                <w:color w:val="1C5C2E"/>
                <w:sz w:val="20"/>
                <w:szCs w:val="20"/>
              </w:rPr>
              <w:t xml:space="preserve">Conseil pour demarrer</w:t>
            </w:r>
          </w:p>
          <w:p>
            <w:pPr>
              <w:spacing w:after="0" w:before="0"/>
            </w:pPr>
            <w:r>
              <w:rPr>
                <w:rFonts w:ascii="Arial" w:cs="Arial" w:eastAsia="Arial" w:hAnsi="Arial"/>
                <w:color w:val="000000"/>
                <w:sz w:val="20"/>
                <w:szCs w:val="20"/>
              </w:rPr>
              <w:t xml:space="preserve">Commencer par faire tourner le stack Docker (MQTT + BDD + API) pour un seul pays avant de s'occuper du frontend ou du CI/CD. C'est le coeur du projet et tout le reste en depend.</w:t>
            </w:r>
          </w:p>
        </w:tc>
      </w:tr>
    </w:tbl>
    <w:p>
      <w:pPr>
        <w:spacing w:after="200" w:before="0"/>
      </w:pPr>
    </w:p>
    <w:p>
      <w:pPr>
        <w:spacing w:after="0" w:before="200"/>
        <w:jc w:val="center"/>
      </w:pPr>
      <w:r>
        <w:rPr>
          <w:rFonts w:ascii="Arial" w:cs="Arial" w:eastAsia="Arial" w:hAnsi="Arial"/>
          <w:i/>
          <w:iCs/>
          <w:color w:val="888888"/>
          <w:sz w:val="16"/>
          <w:szCs w:val="16"/>
        </w:rPr>
        <w:t xml:space="preserve">Document genere a partir du cahier des charges EPSI — FutureKawa MSPR Bloc 4</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4D8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2026-05-26T07:30:36.095Z</dcterms:created>
  <dcterms:modified xsi:type="dcterms:W3CDTF">2026-05-26T07:30:36.095Z</dcterms:modified>
</cp:coreProperties>
</file>

<file path=docProps/custom.xml><?xml version="1.0" encoding="utf-8"?>
<Properties xmlns="http://schemas.openxmlformats.org/officeDocument/2006/custom-properties" xmlns:vt="http://schemas.openxmlformats.org/officeDocument/2006/docPropsVTypes"/>
</file>