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24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003">
      <w:pPr>
        <w:spacing w:line="24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Introducción a la Economía </w:t>
      </w:r>
    </w:p>
    <w:p w:rsidR="00000000" w:rsidDel="00000000" w:rsidP="00000000" w:rsidRDefault="00000000" w:rsidRPr="00000000" w14:paraId="00000004">
      <w:pPr>
        <w:spacing w:line="24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ICS1513 - Sección 3</w:t>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7">
      <w:pPr>
        <w:pStyle w:val="Title"/>
        <w:spacing w:line="240" w:lineRule="auto"/>
        <w:jc w:val="center"/>
        <w:rPr>
          <w:rFonts w:ascii="Times New Roman" w:cs="Times New Roman" w:eastAsia="Times New Roman" w:hAnsi="Times New Roman"/>
          <w:b w:val="1"/>
          <w:bCs w:val="1"/>
          <w:sz w:val="40"/>
          <w:szCs w:val="40"/>
        </w:rPr>
      </w:pPr>
      <w:bookmarkStart w:colFirst="0" w:colLast="0" w:name="_dm5swyprcqqr" w:id="0"/>
      <w:bookmarkEnd w:id="0"/>
      <w:r w:rsidDel="00000000" w:rsidR="00000000" w:rsidRPr="00000000">
        <w:rPr>
          <w:rFonts w:ascii="Times New Roman" w:cs="Times New Roman" w:eastAsia="Times New Roman" w:hAnsi="Times New Roman"/>
          <w:sz w:val="40"/>
          <w:szCs w:val="40"/>
          <w:rtl w:val="0"/>
        </w:rPr>
        <w:t xml:space="preserve">Entrega N°1</w:t>
      </w:r>
      <w:r w:rsidDel="00000000" w:rsidR="00000000" w:rsidRPr="00000000">
        <w:rPr>
          <w:rtl w:val="0"/>
        </w:rPr>
      </w:r>
    </w:p>
    <w:p w:rsidR="00000000" w:rsidDel="00000000" w:rsidP="00000000" w:rsidRDefault="00000000" w:rsidRPr="00000000" w14:paraId="00000018">
      <w:pPr>
        <w:pStyle w:val="Heading1"/>
        <w:spacing w:line="240" w:lineRule="auto"/>
        <w:jc w:val="center"/>
        <w:rPr>
          <w:rFonts w:ascii="Times New Roman" w:cs="Times New Roman" w:eastAsia="Times New Roman" w:hAnsi="Times New Roman"/>
        </w:rPr>
      </w:pPr>
      <w:bookmarkStart w:colFirst="0" w:colLast="0" w:name="_6gxn7a6zal7p" w:id="1"/>
      <w:bookmarkEnd w:id="1"/>
      <w:r w:rsidDel="00000000" w:rsidR="00000000" w:rsidRPr="00000000">
        <w:rPr>
          <w:rFonts w:ascii="Times New Roman" w:cs="Times New Roman" w:eastAsia="Times New Roman" w:hAnsi="Times New Roman"/>
          <w:rtl w:val="0"/>
        </w:rPr>
        <w:t xml:space="preserve">Aumento del impuesto a la renta en los tramos más altos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Franco Nicolai Corvalán Mansourova</w:t>
      </w:r>
    </w:p>
    <w:p w:rsidR="00000000" w:rsidDel="00000000" w:rsidP="00000000" w:rsidRDefault="00000000" w:rsidRPr="00000000" w14:paraId="00000027">
      <w:pPr>
        <w:pStyle w:val="Heading2"/>
        <w:rPr>
          <w:rFonts w:ascii="Times New Roman" w:cs="Times New Roman" w:eastAsia="Times New Roman" w:hAnsi="Times New Roman"/>
        </w:rPr>
      </w:pPr>
      <w:bookmarkStart w:colFirst="0" w:colLast="0" w:name="_9otfuhc9i3vd" w:id="2"/>
      <w:bookmarkEnd w:id="2"/>
      <w:r w:rsidDel="00000000" w:rsidR="00000000" w:rsidRPr="00000000">
        <w:rPr>
          <w:rFonts w:ascii="Times New Roman" w:cs="Times New Roman" w:eastAsia="Times New Roman" w:hAnsi="Times New Roman"/>
          <w:rtl w:val="0"/>
        </w:rPr>
        <w:t xml:space="preserve">Introducción:</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regresividad o progresividad de las políticas fiscales, depende de quiénes y de cuánto aportan al Estado, (...) y quiénes y cuánto reciben por parte del Estado (Atuesta et al., 2018). A través de esta línea, introducimos nuestro tema central, el impuesto a la renta</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a los tramos de mayor ingreso, o también denominados “ricos” o “super ricos”</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hace unos años, en Chile, han surgido distintas promesas de distintos movimientos políticos de iniciar reformas al impuesto a la renta en tramos altos, como una opción a aumentar la recolección de capital estatal</w:t>
      </w:r>
      <w:r w:rsidDel="00000000" w:rsidR="00000000" w:rsidRPr="00000000">
        <w:rPr>
          <w:rFonts w:ascii="Times New Roman" w:cs="Times New Roman" w:eastAsia="Times New Roman" w:hAnsi="Times New Roman"/>
          <w:sz w:val="24"/>
          <w:szCs w:val="24"/>
          <w:rtl w:val="0"/>
        </w:rPr>
        <w:t xml:space="preserve"> (Alonso, 2022). Por su contraparte, el Sistema Impuesto Interno ha declarado que “el déficit fiscal no es un tema relevante para Chile desde hace ya varios años, producto de un manejo responsable de la economía” (Sistema Impuesto Interno, 2022). Con lo anterior podemos observar que existen distintas posiciones sobre las reformas en políticas fiscales.</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destacar que el capital recaudado anualmente a través del Sistema Impuesto Interno, corresponde 3,9% PIB de la economía chilena, lo cual el 0,8%, provienen al interés a la renta, y un 0,016% corresponde a impuestos a “ricos” (Sistema Impuesto Interno, 2022).</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método de capitalización (subir tasas impositivas) genera mayores distorsiones en la economía, e incentiva la evasión (Milton Friedman,</w:t>
      </w:r>
      <w:r w:rsidDel="00000000" w:rsidR="00000000" w:rsidRPr="00000000">
        <w:rPr>
          <w:rFonts w:ascii="Times New Roman" w:cs="Times New Roman" w:eastAsia="Times New Roman" w:hAnsi="Times New Roman"/>
          <w:sz w:val="24"/>
          <w:szCs w:val="24"/>
          <w:rtl w:val="0"/>
        </w:rPr>
        <w:t xml:space="preserve">1966)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Una alternativa “sana” y más eficiente de elevar los ingresos, es reduciendo la evasión tributaria, perspectiva defendida por la comunidad de economistas en políticas fiscales. La</w:t>
      </w:r>
      <w:r w:rsidDel="00000000" w:rsidR="00000000" w:rsidRPr="00000000">
        <w:rPr>
          <w:rFonts w:ascii="Times New Roman" w:cs="Times New Roman" w:eastAsia="Times New Roman" w:hAnsi="Times New Roman"/>
          <w:sz w:val="24"/>
          <w:szCs w:val="24"/>
          <w:rtl w:val="0"/>
        </w:rPr>
        <w:t xml:space="preserve"> lógica detrás de este punto,</w:t>
      </w:r>
      <w:r w:rsidDel="00000000" w:rsidR="00000000" w:rsidRPr="00000000">
        <w:rPr>
          <w:rFonts w:ascii="Times New Roman" w:cs="Times New Roman" w:eastAsia="Times New Roman" w:hAnsi="Times New Roman"/>
          <w:sz w:val="24"/>
          <w:szCs w:val="24"/>
          <w:rtl w:val="0"/>
        </w:rPr>
        <w:t xml:space="preserve"> es que, si analizamos los costos y capital recaudado de la reforma a las tasas impositivas, en comparación a los costos y capital recaudados de disminuir la evasión de impuestos, podemos observar que se genera una mayor recaudación pública en este último caso.</w:t>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que optar por esta alternativa implique una recolección a largo plazo. El corto plazo seguiría con respaldo de otras fuentes de recaudación. José María Diez, comenta: “Es importante señalar que siempre habrá aumento significativo de la recaudación cuando exista mayor crecimiento económico,(...). Al aumentar los ingresos de las personas, y considerando solamente los impuestos personales (...), aumenta la recaudación”. Por lo tanto, de igual manera se recaudará capital para el mantenimiento del sistema actual.</w:t>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influyente destacar que en Chile la evasión es del orden del 24% (Sistema Impuesto Interno, 2022), mientras que en los países desarrollados se ubica en niveles de un dígito; dado lo anterior podemos relacionar que los niveles de evasión son reflejo de una eficiente administración por parte del estado, una cifra que independiente de la postura economica o politica que se posea, se buscará optimizar. A la luz de estos argumentos, sostenemos la tesis de que reformas en las tasas de impuestos en tramos altos es una reforma no eficiente comparado con otros métodos tales como la reducción de la evasión de impuestos.</w:t>
      </w:r>
    </w:p>
    <w:p w:rsidR="00000000" w:rsidDel="00000000" w:rsidP="00000000" w:rsidRDefault="00000000" w:rsidRPr="00000000" w14:paraId="00000033">
      <w:pPr>
        <w:pStyle w:val="Heading2"/>
        <w:rPr>
          <w:rFonts w:ascii="Times New Roman" w:cs="Times New Roman" w:eastAsia="Times New Roman" w:hAnsi="Times New Roman"/>
        </w:rPr>
      </w:pPr>
      <w:bookmarkStart w:colFirst="0" w:colLast="0" w:name="_o6vueglrdnpe" w:id="3"/>
      <w:bookmarkEnd w:id="3"/>
      <w:r w:rsidDel="00000000" w:rsidR="00000000" w:rsidRPr="00000000">
        <w:rPr>
          <w:rFonts w:ascii="Times New Roman" w:cs="Times New Roman" w:eastAsia="Times New Roman" w:hAnsi="Times New Roman"/>
          <w:sz w:val="30"/>
          <w:szCs w:val="30"/>
          <w:rtl w:val="0"/>
        </w:rPr>
        <w:t xml:space="preserve">Biografía:</w:t>
      </w: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Jiménez, J. (2015).</w:t>
      </w:r>
      <w:r w:rsidDel="00000000" w:rsidR="00000000" w:rsidRPr="00000000">
        <w:rPr>
          <w:rFonts w:ascii="Times New Roman" w:cs="Times New Roman" w:eastAsia="Times New Roman" w:hAnsi="Times New Roman"/>
          <w:i w:val="1"/>
          <w:iCs w:val="1"/>
          <w:sz w:val="24"/>
          <w:szCs w:val="24"/>
          <w:rtl w:val="0"/>
        </w:rPr>
        <w:t xml:space="preserve"> Desigualdad, concentración del ingreso y tributación sobre las altas rentas en América Latina</w:t>
      </w:r>
      <w:r w:rsidDel="00000000" w:rsidR="00000000" w:rsidRPr="00000000">
        <w:rPr>
          <w:rFonts w:ascii="Times New Roman" w:cs="Times New Roman" w:eastAsia="Times New Roman" w:hAnsi="Times New Roman"/>
          <w:sz w:val="24"/>
          <w:szCs w:val="24"/>
          <w:rtl w:val="0"/>
        </w:rPr>
        <w:t xml:space="preserve"> (p. 174). </w:t>
      </w:r>
      <w:hyperlink r:id="rId7">
        <w:r w:rsidDel="00000000" w:rsidR="00000000" w:rsidRPr="00000000">
          <w:rPr>
            <w:rFonts w:ascii="Times New Roman" w:cs="Times New Roman" w:eastAsia="Times New Roman" w:hAnsi="Times New Roman"/>
            <w:color w:val="1155cc"/>
            <w:sz w:val="24"/>
            <w:szCs w:val="24"/>
            <w:u w:val="single"/>
            <w:rtl w:val="0"/>
          </w:rPr>
          <w:t xml:space="preserve">Enlace</w:t>
        </w:r>
      </w:hyperlink>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Atuesta, B., Mancero, X., &amp; Tromben, V. (2018). </w:t>
      </w:r>
      <w:r w:rsidDel="00000000" w:rsidR="00000000" w:rsidRPr="00000000">
        <w:rPr>
          <w:rFonts w:ascii="Times New Roman" w:cs="Times New Roman" w:eastAsia="Times New Roman" w:hAnsi="Times New Roman"/>
          <w:i w:val="1"/>
          <w:iCs w:val="1"/>
          <w:sz w:val="24"/>
          <w:szCs w:val="24"/>
          <w:rtl w:val="0"/>
        </w:rPr>
        <w:t xml:space="preserve">Herramientas para el análisis de las desigualdades y del efecto redistributivo de las políticas públicas</w:t>
      </w:r>
      <w:r w:rsidDel="00000000" w:rsidR="00000000" w:rsidRPr="00000000">
        <w:rPr>
          <w:rFonts w:ascii="Times New Roman" w:cs="Times New Roman" w:eastAsia="Times New Roman" w:hAnsi="Times New Roman"/>
          <w:sz w:val="24"/>
          <w:szCs w:val="24"/>
          <w:rtl w:val="0"/>
        </w:rPr>
        <w:t xml:space="preserve"> (p. 106). </w:t>
      </w:r>
      <w:hyperlink r:id="rId8">
        <w:r w:rsidDel="00000000" w:rsidR="00000000" w:rsidRPr="00000000">
          <w:rPr>
            <w:rFonts w:ascii="Times New Roman" w:cs="Times New Roman" w:eastAsia="Times New Roman" w:hAnsi="Times New Roman"/>
            <w:color w:val="1155cc"/>
            <w:sz w:val="24"/>
            <w:szCs w:val="24"/>
            <w:u w:val="single"/>
            <w:rtl w:val="0"/>
          </w:rPr>
          <w:t xml:space="preserve">Enlace</w:t>
        </w:r>
      </w:hyperlink>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Impuesto Interno. (s.f.). </w:t>
      </w:r>
      <w:r w:rsidDel="00000000" w:rsidR="00000000" w:rsidRPr="00000000">
        <w:rPr>
          <w:rFonts w:ascii="Times New Roman" w:cs="Times New Roman" w:eastAsia="Times New Roman" w:hAnsi="Times New Roman"/>
          <w:i w:val="1"/>
          <w:iCs w:val="1"/>
          <w:sz w:val="24"/>
          <w:szCs w:val="24"/>
          <w:rtl w:val="0"/>
        </w:rPr>
        <w:t xml:space="preserve">¿Qué es el Impuesto a la Renta y quiénes deben declararlo?.</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Enlace</w:t>
        </w:r>
      </w:hyperlink>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Impuesto Interno. (s.f.). </w:t>
      </w:r>
      <w:r w:rsidDel="00000000" w:rsidR="00000000" w:rsidRPr="00000000">
        <w:rPr>
          <w:rFonts w:ascii="Times New Roman" w:cs="Times New Roman" w:eastAsia="Times New Roman" w:hAnsi="Times New Roman"/>
          <w:i w:val="1"/>
          <w:iCs w:val="1"/>
          <w:sz w:val="24"/>
          <w:szCs w:val="24"/>
          <w:rtl w:val="0"/>
        </w:rPr>
        <w:t xml:space="preserve">Diagnóstico del sistema tributario chileno 2022</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Enlace</w:t>
        </w:r>
      </w:hyperlink>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Impuesto Interno. (2022). </w:t>
      </w:r>
      <w:r w:rsidDel="00000000" w:rsidR="00000000" w:rsidRPr="00000000">
        <w:rPr>
          <w:rFonts w:ascii="Times New Roman" w:cs="Times New Roman" w:eastAsia="Times New Roman" w:hAnsi="Times New Roman"/>
          <w:i w:val="1"/>
          <w:iCs w:val="1"/>
          <w:sz w:val="24"/>
          <w:szCs w:val="24"/>
          <w:rtl w:val="0"/>
        </w:rPr>
        <w:t xml:space="preserve">Educación Tributaria: ¿Qué es el Impuesto a la Renta y quiénes deben declararlo?</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Enlace</w:t>
        </w:r>
      </w:hyperlink>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Alonso, C. (2022, 30 de julio).</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Reformas </w:t>
      </w:r>
      <w:r w:rsidDel="00000000" w:rsidR="00000000" w:rsidRPr="00000000">
        <w:rPr>
          <w:rFonts w:ascii="Times New Roman" w:cs="Times New Roman" w:eastAsia="Times New Roman" w:hAnsi="Times New Roman"/>
          <w:sz w:val="24"/>
          <w:szCs w:val="24"/>
          <w:rtl w:val="0"/>
        </w:rPr>
        <w:t xml:space="preserve">tributaria</w:t>
      </w:r>
      <w:r w:rsidDel="00000000" w:rsidR="00000000" w:rsidRPr="00000000">
        <w:rPr>
          <w:rFonts w:ascii="Times New Roman" w:cs="Times New Roman" w:eastAsia="Times New Roman" w:hAnsi="Times New Roman"/>
          <w:sz w:val="24"/>
          <w:szCs w:val="24"/>
          <w:rtl w:val="0"/>
        </w:rPr>
        <w:t xml:space="preserve">: tramos más altos de ingresos destinarán 4 meses de trabajo para el Fisco. </w:t>
      </w:r>
      <w:r w:rsidDel="00000000" w:rsidR="00000000" w:rsidRPr="00000000">
        <w:rPr>
          <w:rFonts w:ascii="Times New Roman" w:cs="Times New Roman" w:eastAsia="Times New Roman" w:hAnsi="Times New Roman"/>
          <w:i w:val="1"/>
          <w:iCs w:val="1"/>
          <w:sz w:val="24"/>
          <w:szCs w:val="24"/>
          <w:rtl w:val="0"/>
        </w:rPr>
        <w:t xml:space="preserve">La tercera. </w:t>
      </w:r>
      <w:hyperlink r:id="rId12">
        <w:r w:rsidDel="00000000" w:rsidR="00000000" w:rsidRPr="00000000">
          <w:rPr>
            <w:rFonts w:ascii="Times New Roman" w:cs="Times New Roman" w:eastAsia="Times New Roman" w:hAnsi="Times New Roman"/>
            <w:color w:val="1155cc"/>
            <w:sz w:val="24"/>
            <w:szCs w:val="24"/>
            <w:u w:val="single"/>
            <w:rtl w:val="0"/>
          </w:rPr>
          <w:t xml:space="preserve">Enlace</w:t>
        </w:r>
      </w:hyperlink>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Friedman, M. (1966). </w:t>
      </w:r>
      <w:r w:rsidDel="00000000" w:rsidR="00000000" w:rsidRPr="00000000">
        <w:rPr>
          <w:rFonts w:ascii="Times New Roman" w:cs="Times New Roman" w:eastAsia="Times New Roman" w:hAnsi="Times New Roman"/>
          <w:i w:val="1"/>
          <w:iCs w:val="1"/>
          <w:sz w:val="24"/>
          <w:szCs w:val="24"/>
          <w:rtl w:val="0"/>
        </w:rPr>
        <w:t xml:space="preserve">Capitalismo y libertad</w:t>
      </w:r>
      <w:r w:rsidDel="00000000" w:rsidR="00000000" w:rsidRPr="00000000">
        <w:rPr>
          <w:rFonts w:ascii="Times New Roman" w:cs="Times New Roman" w:eastAsia="Times New Roman" w:hAnsi="Times New Roman"/>
          <w:sz w:val="24"/>
          <w:szCs w:val="24"/>
          <w:rtl w:val="0"/>
        </w:rPr>
        <w:t xml:space="preserve">. </w:t>
      </w:r>
      <w:hyperlink r:id="rId13">
        <w:r w:rsidDel="00000000" w:rsidR="00000000" w:rsidRPr="00000000">
          <w:rPr>
            <w:rFonts w:ascii="Times New Roman" w:cs="Times New Roman" w:eastAsia="Times New Roman" w:hAnsi="Times New Roman"/>
            <w:color w:val="1155cc"/>
            <w:sz w:val="24"/>
            <w:szCs w:val="24"/>
            <w:u w:val="single"/>
            <w:rtl w:val="0"/>
          </w:rPr>
          <w:t xml:space="preserve">Enlace</w:t>
        </w:r>
      </w:hyperlink>
      <w:r w:rsidDel="00000000" w:rsidR="00000000" w:rsidRPr="00000000">
        <w:rPr>
          <w:rtl w:val="0"/>
        </w:rPr>
      </w:r>
    </w:p>
    <w:sectPr>
      <w:headerReference r:id="rId14" w:type="default"/>
      <w:headerReference r:id="rId15" w:type="first"/>
      <w:footerReference r:id="rId16" w:type="first"/>
      <w:pgSz w:h="16834" w:w="11909"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44">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“Los ricos serían el sector de la población ubicado en el tramo superior de la distribución del</w:t>
      </w:r>
    </w:p>
    <w:p w:rsidR="00000000" w:rsidDel="00000000" w:rsidP="00000000" w:rsidRDefault="00000000" w:rsidRPr="00000000" w14:paraId="0000004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ingreso, es decir entre el 10% y el 5% superior, en tanto que los pertenecientes al 1% o al 0,1% superior podrían caracterizarse como “</w:t>
      </w:r>
      <w:r w:rsidDel="00000000" w:rsidR="00000000" w:rsidRPr="00000000">
        <w:rPr>
          <w:rFonts w:ascii="Times New Roman" w:cs="Times New Roman" w:eastAsia="Times New Roman" w:hAnsi="Times New Roman"/>
          <w:sz w:val="20"/>
          <w:szCs w:val="20"/>
          <w:rtl w:val="0"/>
        </w:rPr>
        <w:t xml:space="preserve">súperricos</w:t>
      </w:r>
      <w:r w:rsidDel="00000000" w:rsidR="00000000" w:rsidRPr="00000000">
        <w:rPr>
          <w:rFonts w:ascii="Times New Roman" w:cs="Times New Roman" w:eastAsia="Times New Roman" w:hAnsi="Times New Roman"/>
          <w:sz w:val="20"/>
          <w:szCs w:val="20"/>
          <w:rtl w:val="0"/>
        </w:rPr>
        <w:t xml:space="preserve">” (Jiménez, 2015, p. 61).</w:t>
      </w:r>
    </w:p>
    <w:p w:rsidR="00000000" w:rsidDel="00000000" w:rsidP="00000000" w:rsidRDefault="00000000" w:rsidRPr="00000000" w14:paraId="00000046">
      <w:pPr>
        <w:spacing w:line="240" w:lineRule="auto"/>
        <w:rPr>
          <w:sz w:val="20"/>
          <w:szCs w:val="20"/>
        </w:rPr>
      </w:pPr>
      <w:r w:rsidDel="00000000" w:rsidR="00000000" w:rsidRPr="00000000">
        <w:rPr>
          <w:rtl w:val="0"/>
        </w:rPr>
      </w:r>
    </w:p>
  </w:footnote>
  <w:footnote w:id="0">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“Los impuestos son los aportes en dinero que los ciudadanos están obligados por ley a pagar” (Sistema Impuesto Interno, 2022).</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-409574</wp:posOffset>
          </wp:positionH>
          <wp:positionV relativeFrom="paragraph">
            <wp:posOffset>95250</wp:posOffset>
          </wp:positionV>
          <wp:extent cx="966788" cy="1333876"/>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966788" cy="133387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ii.cl/destacados/educacion/siieduca/aprende-con-nosotros/que-es-el-impuesto-a-la-renta-y-quienes-deben-declararlo.html#:~:text=Es%20un%20impuesto%20que%20grava,Impuesto%20Global%20Complementario" TargetMode="External"/><Relationship Id="rId10" Type="http://schemas.openxmlformats.org/officeDocument/2006/relationships/hyperlink" Target="https://www.sii.cl/aprenda_sobre_impuestos/estudios/diagnostico.htm#_Toc478981716" TargetMode="External"/><Relationship Id="rId13" Type="http://schemas.openxmlformats.org/officeDocument/2006/relationships/hyperlink" Target="https://es.wikipedia.org/wiki/Capitalismo_y_libertad" TargetMode="External"/><Relationship Id="rId12" Type="http://schemas.openxmlformats.org/officeDocument/2006/relationships/hyperlink" Target="https://www.latercera.com/pulso/noticia/reforma-tributaria-tramos-mas-altos-de-ingresos-destinaran-4-meses-de-trabajo-para-el-fisco/VIWHPCSBQVCW7NIYJALECHDOJ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sii.cl/destacados/educacion/siieduca/aprende-con-nosotros/que-es-el-impuesto-a-la-renta-y-quienes-deben-declararlo.html" TargetMode="External"/><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cepal.org/sites/default/files/publication/files/37881/S1420855_es.pdf" TargetMode="External"/><Relationship Id="rId8" Type="http://schemas.openxmlformats.org/officeDocument/2006/relationships/hyperlink" Target="https://www.cepal.org/es/publicaciones/43678-herramientas-analisis-desigualdades-efecto-redistributivo-politicas-publica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