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24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03">
      <w:pPr>
        <w:spacing w:line="24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 a la Economía </w:t>
      </w:r>
    </w:p>
    <w:p w:rsidR="00000000" w:rsidDel="00000000" w:rsidP="00000000" w:rsidRDefault="00000000" w:rsidRPr="00000000" w14:paraId="00000004">
      <w:pPr>
        <w:spacing w:line="24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ICS1513 - Sección 2</w:t>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7">
      <w:pPr>
        <w:pStyle w:val="Title"/>
        <w:spacing w:line="240" w:lineRule="auto"/>
        <w:jc w:val="center"/>
        <w:rPr>
          <w:rFonts w:ascii="Times New Roman" w:cs="Times New Roman" w:eastAsia="Times New Roman" w:hAnsi="Times New Roman"/>
          <w:b w:val="1"/>
          <w:bCs w:val="1"/>
          <w:sz w:val="40"/>
          <w:szCs w:val="40"/>
        </w:rPr>
      </w:pPr>
      <w:bookmarkStart w:colFirst="0" w:colLast="0" w:name="_dm5swyprcqqr" w:id="0"/>
      <w:bookmarkEnd w:id="0"/>
      <w:r w:rsidDel="00000000" w:rsidR="00000000" w:rsidRPr="00000000">
        <w:rPr>
          <w:rFonts w:ascii="Times New Roman" w:cs="Times New Roman" w:eastAsia="Times New Roman" w:hAnsi="Times New Roman"/>
          <w:sz w:val="40"/>
          <w:szCs w:val="40"/>
          <w:rtl w:val="0"/>
        </w:rPr>
        <w:t xml:space="preserve">Entrega N°2</w:t>
      </w:r>
      <w:r w:rsidDel="00000000" w:rsidR="00000000" w:rsidRPr="00000000">
        <w:rPr>
          <w:rtl w:val="0"/>
        </w:rPr>
      </w:r>
    </w:p>
    <w:p w:rsidR="00000000" w:rsidDel="00000000" w:rsidP="00000000" w:rsidRDefault="00000000" w:rsidRPr="00000000" w14:paraId="00000018">
      <w:pPr>
        <w:pStyle w:val="Heading1"/>
        <w:spacing w:line="240" w:lineRule="auto"/>
        <w:jc w:val="center"/>
        <w:rPr>
          <w:rFonts w:ascii="Times New Roman" w:cs="Times New Roman" w:eastAsia="Times New Roman" w:hAnsi="Times New Roman"/>
          <w:sz w:val="24"/>
          <w:szCs w:val="24"/>
        </w:rPr>
      </w:pPr>
      <w:bookmarkStart w:colFirst="0" w:colLast="0" w:name="_6gxn7a6zal7p" w:id="1"/>
      <w:bookmarkEnd w:id="1"/>
      <w:r w:rsidDel="00000000" w:rsidR="00000000" w:rsidRPr="00000000">
        <w:rPr>
          <w:rFonts w:ascii="Times New Roman" w:cs="Times New Roman" w:eastAsia="Times New Roman" w:hAnsi="Times New Roman"/>
          <w:rtl w:val="0"/>
        </w:rPr>
        <w:t xml:space="preserve">Desafíos de las reformas: Implicaciones del aumento en el impuesto a la renta en tramos altos</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Franco Nicolai Corvalán Mansourova</w:t>
      </w:r>
    </w:p>
    <w:p w:rsidR="00000000" w:rsidDel="00000000" w:rsidP="00000000" w:rsidRDefault="00000000" w:rsidRPr="00000000" w14:paraId="00000026">
      <w:pPr>
        <w:pStyle w:val="Heading2"/>
        <w:rPr>
          <w:rFonts w:ascii="Times New Roman" w:cs="Times New Roman" w:eastAsia="Times New Roman" w:hAnsi="Times New Roman"/>
        </w:rPr>
      </w:pPr>
      <w:bookmarkStart w:colFirst="0" w:colLast="0" w:name="_9otfuhc9i3vd" w:id="2"/>
      <w:bookmarkEnd w:id="2"/>
      <w:r w:rsidDel="00000000" w:rsidR="00000000" w:rsidRPr="00000000">
        <w:rPr>
          <w:rFonts w:ascii="Times New Roman" w:cs="Times New Roman" w:eastAsia="Times New Roman" w:hAnsi="Times New Roman"/>
          <w:rtl w:val="0"/>
        </w:rPr>
        <w:t xml:space="preserve">Introducción:</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regresividad o progresividad de las políticas fiscales, depende de quiénes y de cuánto aportan al Estado, (...) y quiénes y cuánto reciben por parte del Estado (Atuesta et al., 2018). A través de esta línea, introducimos nuestro tema central, el impuesto a la renta</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a los tramos de mayor ingreso, o también denominados “ricos” o “super ricos”. La definición que adoptaremos en dicho informe de dichas clases sociales es que “los ricos son el sector de la población ubicado en el tramo superior de la distribución del ingreso, es decir entre el 10% y el 5% superior, en tanto que los pertenecientes al 1% o al 0,1% superior podrían caracterizarse como “súper ricos” ”(Jiménez, 2015, p. 61)</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Chile, en los últimos años, diferentes movimientos políticos han prometido </w:t>
      </w:r>
      <w:r w:rsidDel="00000000" w:rsidR="00000000" w:rsidRPr="00000000">
        <w:rPr>
          <w:rFonts w:ascii="Times New Roman" w:cs="Times New Roman" w:eastAsia="Times New Roman" w:hAnsi="Times New Roman"/>
          <w:sz w:val="24"/>
          <w:szCs w:val="24"/>
          <w:rtl w:val="0"/>
        </w:rPr>
        <w:t xml:space="preserve">reformas al impuesto a la renta en tramos altos, como una opción a aumentar la recolección de capital estatal</w:t>
      </w:r>
      <w:r w:rsidDel="00000000" w:rsidR="00000000" w:rsidRPr="00000000">
        <w:rPr>
          <w:rFonts w:ascii="Times New Roman" w:cs="Times New Roman" w:eastAsia="Times New Roman" w:hAnsi="Times New Roman"/>
          <w:sz w:val="24"/>
          <w:szCs w:val="24"/>
          <w:rtl w:val="0"/>
        </w:rPr>
        <w:t xml:space="preserve"> (Alonso, 2022). Por su contraparte, el Servicio Impuesto Interno ha declarado que “el déficit fiscal no es un tema relevante para Chile desde hace ya varios años, producto de un manejo responsable de la economía” (Servicio de Impuestos Internos, 2022). Estas discrepancias demuestran que existen diversas posturas sobre las reformas en políticas fiscales.</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método de capitalización, que implica el aumento de las tasas impositivas, generaría mayores distorsiones en la economía, e incentiva la evasión (Friedman,</w:t>
      </w:r>
      <w:r w:rsidDel="00000000" w:rsidR="00000000" w:rsidRPr="00000000">
        <w:rPr>
          <w:rFonts w:ascii="Times New Roman" w:cs="Times New Roman" w:eastAsia="Times New Roman" w:hAnsi="Times New Roman"/>
          <w:sz w:val="24"/>
          <w:szCs w:val="24"/>
          <w:rtl w:val="0"/>
        </w:rPr>
        <w:t xml:space="preserve"> 1966)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Una alternativa más saludable y eficiente para aumentar los ingresos es reducir la evasión tributaria, perspectiva defendida por la comunidad de economistas en políticas fiscales. La lógica detrás de esta idea es que, si comparamos los costos y los ingresos generados por el aumento de las tasas impositivas con los costos y los ingresos generados por la reducción de la evasión de impuestos, observaremos que la segunda opción resulta más eficiente y beneficiosa a largo plazo para la economía (Alonso, 2022).</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algunos economistas, la alternativa propuesta implica una recolección de capital a largo plazo, aunque existen distintos tipos de variables que podrían apoyar a la capitalización del mediano y corto plazo. Entre estas variables se encuentran el empleo y los salarios. Los economistas coinciden que “es importante señalar que siempre habrá aumento significativo de la recaudación cuando exista mayor crecimiento económico,(...). Al aumentar los ingresos de las personas, y considerando solamente los impuestos personales (...), aumenta la recaudación” (Diez, 2022). </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fundamental destacar que en Chile la evasión es del orden del 24% (Sistema Impuesto Interno, 2022), mientras que en los países desarrollados se ubica en niveles de un dígito. Dado lo anterior podemos relacionar que los niveles de evasión son reflejo de una eficiente administración por parte del estado, una cifra que independiente de la postura económica o política que se posea, se buscará optimizar. A la luz de estos argumentos, sostenemos la tesis de que reformas en las tasas de impuestos en tramos altos es un método no eficiente comparada con otros, tales como la reducción de la evasión de impuestos.</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2"/>
        <w:spacing w:line="240" w:lineRule="auto"/>
        <w:jc w:val="both"/>
        <w:rPr>
          <w:rFonts w:ascii="Times New Roman" w:cs="Times New Roman" w:eastAsia="Times New Roman" w:hAnsi="Times New Roman"/>
          <w:b w:val="1"/>
          <w:bCs w:val="1"/>
          <w:sz w:val="24"/>
          <w:szCs w:val="24"/>
        </w:rPr>
      </w:pPr>
      <w:bookmarkStart w:colFirst="0" w:colLast="0" w:name="_838wurm8oqj4" w:id="3"/>
      <w:bookmarkEnd w:id="3"/>
      <w:r w:rsidDel="00000000" w:rsidR="00000000" w:rsidRPr="00000000">
        <w:rPr>
          <w:rFonts w:ascii="Times New Roman" w:cs="Times New Roman" w:eastAsia="Times New Roman" w:hAnsi="Times New Roman"/>
          <w:b w:val="1"/>
          <w:bCs w:val="1"/>
          <w:sz w:val="24"/>
          <w:szCs w:val="24"/>
          <w:rtl w:val="0"/>
        </w:rPr>
        <w:t xml:space="preserve">Impacto de las tasas impositivas en la evasión y su consecuencia en la financiación gubernamental:</w:t>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aumento de las tasas impositivas para las personas de mayores ingresos crea incentivos adicionales para la evasión o elusión de impuestos (Friedman, 1966). Esto se manifiesta a través de la creación de sociedades de inversión, la adquisición de bienes de uso personal a través de empresas, o, lo que los economistas consideran la alternativa más perjudicial para la economía del país, la transferencia de capital a países catalogados como paraísos fiscales. Esta última opción conduce a una disminución en la recaudación de impuestos, lo que afecta negativamente al estado, </w:t>
      </w:r>
      <w:r w:rsidDel="00000000" w:rsidR="00000000" w:rsidRPr="00000000">
        <w:rPr>
          <w:rFonts w:ascii="Times New Roman" w:cs="Times New Roman" w:eastAsia="Times New Roman" w:hAnsi="Times New Roman"/>
          <w:sz w:val="24"/>
          <w:szCs w:val="24"/>
          <w:rtl w:val="0"/>
        </w:rPr>
        <w:t xml:space="preserve">que requiere de </w:t>
      </w:r>
      <w:r w:rsidDel="00000000" w:rsidR="00000000" w:rsidRPr="00000000">
        <w:rPr>
          <w:rFonts w:ascii="Times New Roman" w:cs="Times New Roman" w:eastAsia="Times New Roman" w:hAnsi="Times New Roman"/>
          <w:sz w:val="24"/>
          <w:szCs w:val="24"/>
          <w:rtl w:val="0"/>
        </w:rPr>
        <w:t xml:space="preserve">esos recursos para abordar con éxito numerosas deficiencias en el ámbito social (Sistema de Impuesto Interno, 2022).</w:t>
      </w: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consecuencia indirecta, la rentabilidad del ahorro se ve reducida por la tasa marginal a la que están sujetos los ingresos de la persona (Sistema Impuesto Interno, 2022). El ahorro permite tanto a individuos como a empresas invertir en el futuro, ya sea mediante la adquisición de bienes de capital, la educación o la investigación (Diez, 2022). Cuando las personas no ahorran lo suficiente, existe el riesgo de no disponer de los recursos necesarios para realizar inversiones. Esto, a su vez, puede limitar el crecimiento económico a largo plazo. La relevancia de este hecho radica en su impacto en la financiación de los gastos gubernamentales. Si las personas no ahorran lo suficiente, el gobierno podría enfrentar dificultades para cubrir sus gastos con los ingresos disponibles. Como resultado, se vería obligado a recurrir a la deuda para financiar sus programas y servicios (Sistema Impuesto Interno, 2022).</w:t>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a lo anterior, es importante mencionar que cuando el gobierno entra en déficit fiscal, utiliza métodos tales como aumento de los impuestos, no solo en los tramos más altos, sino también en el resto de la población, lo que afecta el bolsillo de la población en general. Esta medida puede ser una respuesta necesaria para equilibrar las finanzas públicas, pero también tiene implicaciones significativas para los ciudadanos, ya que puede generar un aumento de la carga fiscal para la mayoría de la población (Sistema Impuesto Interno, 2022).</w:t>
      </w:r>
    </w:p>
    <w:p w:rsidR="00000000" w:rsidDel="00000000" w:rsidP="00000000" w:rsidRDefault="00000000" w:rsidRPr="00000000" w14:paraId="0000003B">
      <w:pPr>
        <w:pStyle w:val="Heading2"/>
        <w:spacing w:line="240" w:lineRule="auto"/>
        <w:jc w:val="both"/>
        <w:rPr>
          <w:rFonts w:ascii="Times New Roman" w:cs="Times New Roman" w:eastAsia="Times New Roman" w:hAnsi="Times New Roman"/>
          <w:b w:val="1"/>
          <w:bCs w:val="1"/>
          <w:sz w:val="24"/>
          <w:szCs w:val="24"/>
        </w:rPr>
      </w:pPr>
      <w:bookmarkStart w:colFirst="0" w:colLast="0" w:name="_uvp62kdp75ph" w:id="4"/>
      <w:bookmarkEnd w:id="4"/>
      <w:r w:rsidDel="00000000" w:rsidR="00000000" w:rsidRPr="00000000">
        <w:rPr>
          <w:rFonts w:ascii="Times New Roman" w:cs="Times New Roman" w:eastAsia="Times New Roman" w:hAnsi="Times New Roman"/>
          <w:b w:val="1"/>
          <w:bCs w:val="1"/>
          <w:sz w:val="24"/>
          <w:szCs w:val="24"/>
          <w:rtl w:val="0"/>
        </w:rPr>
        <w:t xml:space="preserve">Impacto en el incentivo al trabajo y su </w:t>
      </w:r>
      <w:r w:rsidDel="00000000" w:rsidR="00000000" w:rsidRPr="00000000">
        <w:rPr>
          <w:rFonts w:ascii="Times New Roman" w:cs="Times New Roman" w:eastAsia="Times New Roman" w:hAnsi="Times New Roman"/>
          <w:b w:val="1"/>
          <w:bCs w:val="1"/>
          <w:sz w:val="24"/>
          <w:szCs w:val="24"/>
          <w:rtl w:val="0"/>
        </w:rPr>
        <w:t xml:space="preserve">implican</w:t>
      </w:r>
      <w:r w:rsidDel="00000000" w:rsidR="00000000" w:rsidRPr="00000000">
        <w:rPr>
          <w:rFonts w:ascii="Times New Roman" w:cs="Times New Roman" w:eastAsia="Times New Roman" w:hAnsi="Times New Roman"/>
          <w:b w:val="1"/>
          <w:bCs w:val="1"/>
          <w:sz w:val="24"/>
          <w:szCs w:val="24"/>
          <w:rtl w:val="0"/>
        </w:rPr>
        <w:t xml:space="preserve">cia en la productividad laboral:</w:t>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tasa marginal creciente con respecto al nivel de renta castiga el esfuerzo adicional (Sistema Impuesto Interno, 2022). Cuando se incrementa el impuesto a la renta, las personas tienden a perder su incentivo para aumentar sus ingresos a corto plazo, ya que conlleva una mayor carga tributaria (Friedman, 1966). En términos simples, esto significa que trabajar mucho más para ganar un poco más de dinero puede no resultar beneficioso ni motivador.</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Un aspecto adicional de lo señalado previamente es la pérdida de eficiencia que a largo plazo resulta en una disminución del capital generado por hora de trabajo. Este contexto se refleja en la actual situación de Chile, que presenta un desempeño desfavorable en comparación con el ámbito internacional. Según datos recientes, Chile ocupa el penúltimo lugar entre los países de la OCDE en términos de productividad laboral, con valores que no superan los 30 y 20 dólares respectivamente. En contraste, naciones como Luxemburgo y Noruega lideran el ranking con alrededor de 90 dólares (Biblioteca del Congreso Nacional de Chile, s. f.). Esta brecha en la productividad laboral podría estar relacionada con las consecuencias de un sistema tributario que desincentiva el esfuerzo adicional.</w:t>
      </w: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falta de eficiencia </w:t>
      </w:r>
      <w:r w:rsidDel="00000000" w:rsidR="00000000" w:rsidRPr="00000000">
        <w:rPr>
          <w:rFonts w:ascii="Times New Roman" w:cs="Times New Roman" w:eastAsia="Times New Roman" w:hAnsi="Times New Roman"/>
          <w:sz w:val="24"/>
          <w:szCs w:val="24"/>
          <w:rtl w:val="0"/>
        </w:rPr>
        <w:t xml:space="preserve">de los trabajadores suelen ser características de economías que operan por debajo de su potencial de productividad. Esto tiene un efecto amplio, debido a que en un mercado laboral inestable, aumenta la tendencia al "job </w:t>
      </w:r>
      <w:r w:rsidDel="00000000" w:rsidR="00000000" w:rsidRPr="00000000">
        <w:rPr>
          <w:rFonts w:ascii="Times New Roman" w:cs="Times New Roman" w:eastAsia="Times New Roman" w:hAnsi="Times New Roman"/>
          <w:sz w:val="24"/>
          <w:szCs w:val="24"/>
          <w:rtl w:val="0"/>
        </w:rPr>
        <w:t xml:space="preserve">hopping</w:t>
      </w:r>
      <w:r w:rsidDel="00000000" w:rsidR="00000000" w:rsidRPr="00000000">
        <w:rPr>
          <w:rFonts w:ascii="Times New Roman" w:cs="Times New Roman" w:eastAsia="Times New Roman" w:hAnsi="Times New Roman"/>
          <w:sz w:val="24"/>
          <w:szCs w:val="24"/>
          <w:rtl w:val="0"/>
        </w:rPr>
        <w:t xml:space="preserve">" o cambio constante de empleador, lo que fomenta aún más una pérdida adicional de eficiencia y dificulta la acumulación de conocimiento y experiencia. </w:t>
      </w:r>
      <w:r w:rsidDel="00000000" w:rsidR="00000000" w:rsidRPr="00000000">
        <w:rPr>
          <w:rtl w:val="0"/>
        </w:rPr>
      </w:r>
    </w:p>
    <w:p w:rsidR="00000000" w:rsidDel="00000000" w:rsidP="00000000" w:rsidRDefault="00000000" w:rsidRPr="00000000" w14:paraId="00000041">
      <w:pPr>
        <w:pStyle w:val="Heading2"/>
        <w:rPr>
          <w:rFonts w:ascii="Times New Roman" w:cs="Times New Roman" w:eastAsia="Times New Roman" w:hAnsi="Times New Roman"/>
          <w:sz w:val="24"/>
          <w:szCs w:val="24"/>
        </w:rPr>
      </w:pPr>
      <w:bookmarkStart w:colFirst="0" w:colLast="0" w:name="_o6vueglrdnpe" w:id="5"/>
      <w:bookmarkEnd w:id="5"/>
      <w:r w:rsidDel="00000000" w:rsidR="00000000" w:rsidRPr="00000000">
        <w:rPr>
          <w:rFonts w:ascii="Times New Roman" w:cs="Times New Roman" w:eastAsia="Times New Roman" w:hAnsi="Times New Roman"/>
          <w:sz w:val="30"/>
          <w:szCs w:val="30"/>
          <w:rtl w:val="0"/>
        </w:rPr>
        <w:t xml:space="preserve">Referencias:</w:t>
      </w: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Fonts w:ascii="Times New Roman" w:cs="Times New Roman" w:eastAsia="Times New Roman" w:hAnsi="Times New Roman"/>
          <w:sz w:val="24"/>
          <w:szCs w:val="24"/>
          <w:rtl w:val="0"/>
        </w:rPr>
        <w:t xml:space="preserve">Alonso, C. (2022, 30 de julio).</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Reformas </w:t>
      </w:r>
      <w:r w:rsidDel="00000000" w:rsidR="00000000" w:rsidRPr="00000000">
        <w:rPr>
          <w:rFonts w:ascii="Times New Roman" w:cs="Times New Roman" w:eastAsia="Times New Roman" w:hAnsi="Times New Roman"/>
          <w:sz w:val="24"/>
          <w:szCs w:val="24"/>
          <w:rtl w:val="0"/>
        </w:rPr>
        <w:t xml:space="preserve">tributaria</w:t>
      </w:r>
      <w:r w:rsidDel="00000000" w:rsidR="00000000" w:rsidRPr="00000000">
        <w:rPr>
          <w:rFonts w:ascii="Times New Roman" w:cs="Times New Roman" w:eastAsia="Times New Roman" w:hAnsi="Times New Roman"/>
          <w:sz w:val="24"/>
          <w:szCs w:val="24"/>
          <w:rtl w:val="0"/>
        </w:rPr>
        <w:t xml:space="preserve">: tramos más altos de ingresos destinarán 4 meses de trabajo para el Fisco. </w:t>
      </w:r>
      <w:r w:rsidDel="00000000" w:rsidR="00000000" w:rsidRPr="00000000">
        <w:rPr>
          <w:rFonts w:ascii="Times New Roman" w:cs="Times New Roman" w:eastAsia="Times New Roman" w:hAnsi="Times New Roman"/>
          <w:i w:val="1"/>
          <w:iCs w:val="1"/>
          <w:sz w:val="24"/>
          <w:szCs w:val="24"/>
          <w:rtl w:val="0"/>
        </w:rPr>
        <w:t xml:space="preserve">La tercera. </w:t>
      </w:r>
      <w:hyperlink r:id="rId7">
        <w:r w:rsidDel="00000000" w:rsidR="00000000" w:rsidRPr="00000000">
          <w:rPr>
            <w:rFonts w:ascii="Times New Roman" w:cs="Times New Roman" w:eastAsia="Times New Roman" w:hAnsi="Times New Roman"/>
            <w:color w:val="1155cc"/>
            <w:sz w:val="24"/>
            <w:szCs w:val="24"/>
            <w:u w:val="single"/>
            <w:rtl w:val="0"/>
          </w:rPr>
          <w:t xml:space="preserve">https://www.latercera.com/pulso/noticia/reforma-tributaria-tramos-mas-altos-de-ingresos-destinaran-4-meses-de-trabajo-para-el-fisco/VIWHPCSBQVCW7NIYJALECHDOJE/</w:t>
        </w:r>
      </w:hyperlink>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Atuesta, B., Mancero, X., &amp; Tromben, V. (2018). </w:t>
      </w:r>
      <w:r w:rsidDel="00000000" w:rsidR="00000000" w:rsidRPr="00000000">
        <w:rPr>
          <w:rFonts w:ascii="Times New Roman" w:cs="Times New Roman" w:eastAsia="Times New Roman" w:hAnsi="Times New Roman"/>
          <w:i w:val="1"/>
          <w:iCs w:val="1"/>
          <w:sz w:val="24"/>
          <w:szCs w:val="24"/>
          <w:rtl w:val="0"/>
        </w:rPr>
        <w:t xml:space="preserve">Herramientas para el análisis de las desigualdades y del efecto redistributivo de las políticas públicas</w:t>
      </w:r>
      <w:r w:rsidDel="00000000" w:rsidR="00000000" w:rsidRPr="00000000">
        <w:rPr>
          <w:rFonts w:ascii="Times New Roman" w:cs="Times New Roman" w:eastAsia="Times New Roman" w:hAnsi="Times New Roman"/>
          <w:sz w:val="24"/>
          <w:szCs w:val="24"/>
          <w:rtl w:val="0"/>
        </w:rPr>
        <w:t xml:space="preserve"> (p. 106). </w:t>
      </w:r>
      <w:hyperlink r:id="rId8">
        <w:r w:rsidDel="00000000" w:rsidR="00000000" w:rsidRPr="00000000">
          <w:rPr>
            <w:rFonts w:ascii="Times New Roman" w:cs="Times New Roman" w:eastAsia="Times New Roman" w:hAnsi="Times New Roman"/>
            <w:color w:val="1155cc"/>
            <w:sz w:val="24"/>
            <w:szCs w:val="24"/>
            <w:u w:val="single"/>
            <w:rtl w:val="0"/>
          </w:rPr>
          <w:t xml:space="preserve">https://www.cepal.org/es/publicaciones/43678-herramientas-analisis-desigualdades-efecto-redistributivo-politicas-publicas</w:t>
        </w:r>
      </w:hyperlink>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BCN. (s. f.).</w:t>
      </w:r>
      <w:r w:rsidDel="00000000" w:rsidR="00000000" w:rsidRPr="00000000">
        <w:rPr>
          <w:rFonts w:ascii="Times New Roman" w:cs="Times New Roman" w:eastAsia="Times New Roman" w:hAnsi="Times New Roman"/>
          <w:i w:val="1"/>
          <w:iCs w:val="1"/>
          <w:sz w:val="24"/>
          <w:szCs w:val="24"/>
          <w:rtl w:val="0"/>
        </w:rPr>
        <w:t xml:space="preserve"> Informe sobre productividad en Chile: conceptos y panorama general. Bcn.cl.</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https://obtienearchivo.bcn.cl/obtienearchivo?id=repositorio%2F10221%2F23711%2F1%2FProductividad+1er+informe+Final.pdf</w:t>
        </w:r>
      </w:hyperlink>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Canales, M., Álvarez, R. (2017). </w:t>
      </w:r>
      <w:r w:rsidDel="00000000" w:rsidR="00000000" w:rsidRPr="00000000">
        <w:rPr>
          <w:rFonts w:ascii="Times New Roman" w:cs="Times New Roman" w:eastAsia="Times New Roman" w:hAnsi="Times New Roman"/>
          <w:i w:val="1"/>
          <w:iCs w:val="1"/>
          <w:sz w:val="24"/>
          <w:szCs w:val="24"/>
          <w:rtl w:val="0"/>
        </w:rPr>
        <w:t xml:space="preserve">Impacto de los obstáculos al conocimiento en la innovación de las empresas chilenas. Journal of Technology Management &amp; Innovation</w:t>
      </w:r>
      <w:r w:rsidDel="00000000" w:rsidR="00000000" w:rsidRPr="00000000">
        <w:rPr>
          <w:rFonts w:ascii="Times New Roman" w:cs="Times New Roman" w:eastAsia="Times New Roman" w:hAnsi="Times New Roman"/>
          <w:sz w:val="24"/>
          <w:szCs w:val="24"/>
          <w:rtl w:val="0"/>
        </w:rPr>
        <w:t xml:space="preserve"> (p. 75-85). </w:t>
      </w:r>
      <w:hyperlink r:id="rId10">
        <w:r w:rsidDel="00000000" w:rsidR="00000000" w:rsidRPr="00000000">
          <w:rPr>
            <w:rFonts w:ascii="Times New Roman" w:cs="Times New Roman" w:eastAsia="Times New Roman" w:hAnsi="Times New Roman"/>
            <w:color w:val="1155cc"/>
            <w:sz w:val="24"/>
            <w:szCs w:val="24"/>
            <w:u w:val="single"/>
            <w:rtl w:val="0"/>
          </w:rPr>
          <w:t xml:space="preserve">http://dx.doi.org/10.4067/S0718-27242017000300008</w:t>
        </w:r>
      </w:hyperlink>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Doner, R., Schneider, B. (2020). </w:t>
      </w:r>
      <w:r w:rsidDel="00000000" w:rsidR="00000000" w:rsidRPr="00000000">
        <w:rPr>
          <w:rFonts w:ascii="Times New Roman" w:cs="Times New Roman" w:eastAsia="Times New Roman" w:hAnsi="Times New Roman"/>
          <w:i w:val="1"/>
          <w:iCs w:val="1"/>
          <w:sz w:val="24"/>
          <w:szCs w:val="24"/>
          <w:rtl w:val="0"/>
        </w:rPr>
        <w:t xml:space="preserve">Technical education in the middle income trap:</w:t>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building coalition for skill formation.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https://www.tandfonline.com/doi/full/10.1080/00220388.2019.1595597</w:t>
        </w:r>
      </w:hyperlink>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Friedman, M. (1966). </w:t>
      </w:r>
      <w:r w:rsidDel="00000000" w:rsidR="00000000" w:rsidRPr="00000000">
        <w:rPr>
          <w:rFonts w:ascii="Times New Roman" w:cs="Times New Roman" w:eastAsia="Times New Roman" w:hAnsi="Times New Roman"/>
          <w:i w:val="1"/>
          <w:iCs w:val="1"/>
          <w:sz w:val="24"/>
          <w:szCs w:val="24"/>
          <w:rtl w:val="0"/>
        </w:rPr>
        <w:t xml:space="preserve">Capitalismo y libertad</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https://es.wikipedia.org/wiki/Capitalismo_y_libertad</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Jiménez, J. (2015).</w:t>
      </w:r>
      <w:r w:rsidDel="00000000" w:rsidR="00000000" w:rsidRPr="00000000">
        <w:rPr>
          <w:rFonts w:ascii="Times New Roman" w:cs="Times New Roman" w:eastAsia="Times New Roman" w:hAnsi="Times New Roman"/>
          <w:i w:val="1"/>
          <w:iCs w:val="1"/>
          <w:sz w:val="24"/>
          <w:szCs w:val="24"/>
          <w:rtl w:val="0"/>
        </w:rPr>
        <w:t xml:space="preserve"> Desigualdad, concentración del ingreso y tributación sobre las altas rentas en América Latina</w:t>
      </w:r>
      <w:r w:rsidDel="00000000" w:rsidR="00000000" w:rsidRPr="00000000">
        <w:rPr>
          <w:rFonts w:ascii="Times New Roman" w:cs="Times New Roman" w:eastAsia="Times New Roman" w:hAnsi="Times New Roman"/>
          <w:sz w:val="24"/>
          <w:szCs w:val="24"/>
          <w:rtl w:val="0"/>
        </w:rPr>
        <w:t xml:space="preserve"> (p. 174). </w:t>
      </w:r>
      <w:hyperlink r:id="rId13">
        <w:r w:rsidDel="00000000" w:rsidR="00000000" w:rsidRPr="00000000">
          <w:rPr>
            <w:rFonts w:ascii="Times New Roman" w:cs="Times New Roman" w:eastAsia="Times New Roman" w:hAnsi="Times New Roman"/>
            <w:color w:val="1155cc"/>
            <w:sz w:val="24"/>
            <w:szCs w:val="24"/>
            <w:u w:val="single"/>
            <w:rtl w:val="0"/>
          </w:rPr>
          <w:t xml:space="preserve">https://www.cepal.org/sites/default/files/publication/files/37881/S1420855_es.pdf</w:t>
        </w:r>
      </w:hyperlink>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de Impuestos Internos. (s.f.). </w:t>
      </w:r>
      <w:r w:rsidDel="00000000" w:rsidR="00000000" w:rsidRPr="00000000">
        <w:rPr>
          <w:rFonts w:ascii="Times New Roman" w:cs="Times New Roman" w:eastAsia="Times New Roman" w:hAnsi="Times New Roman"/>
          <w:i w:val="1"/>
          <w:iCs w:val="1"/>
          <w:sz w:val="24"/>
          <w:szCs w:val="24"/>
          <w:rtl w:val="0"/>
        </w:rPr>
        <w:t xml:space="preserve">Diagnóstico del sistema tributario chileno 2022</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https://www.sii.cl/aprenda_sobre_impuestos/estudios/diagnostico.htm#</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_Toc478981716</w:t>
        </w:r>
      </w:hyperlink>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de Impuestos Internos. (2022). </w:t>
      </w:r>
      <w:r w:rsidDel="00000000" w:rsidR="00000000" w:rsidRPr="00000000">
        <w:rPr>
          <w:rFonts w:ascii="Times New Roman" w:cs="Times New Roman" w:eastAsia="Times New Roman" w:hAnsi="Times New Roman"/>
          <w:i w:val="1"/>
          <w:iCs w:val="1"/>
          <w:sz w:val="24"/>
          <w:szCs w:val="24"/>
          <w:rtl w:val="0"/>
        </w:rPr>
        <w:t xml:space="preserve">Educación Tributaria: ¿Qué es el Impuesto a la Renta y quiénes deben declararlo?</w:t>
      </w:r>
      <w:r w:rsidDel="00000000" w:rsidR="00000000" w:rsidRPr="00000000">
        <w:rPr>
          <w:rFonts w:ascii="Times New Roman" w:cs="Times New Roman" w:eastAsia="Times New Roman" w:hAnsi="Times New Roman"/>
          <w:sz w:val="24"/>
          <w:szCs w:val="24"/>
          <w:rtl w:val="0"/>
        </w:rPr>
        <w:t xml:space="preserve">. </w:t>
      </w:r>
      <w:hyperlink r:id="rId16">
        <w:r w:rsidDel="00000000" w:rsidR="00000000" w:rsidRPr="00000000">
          <w:rPr>
            <w:rFonts w:ascii="Times New Roman" w:cs="Times New Roman" w:eastAsia="Times New Roman" w:hAnsi="Times New Roman"/>
            <w:color w:val="1155cc"/>
            <w:sz w:val="24"/>
            <w:szCs w:val="24"/>
            <w:u w:val="single"/>
            <w:rtl w:val="0"/>
          </w:rPr>
          <w:t xml:space="preserve">https://www.sii.cl/destacados/educacion/siieduca/aprende-con-nosotros/que-es-el-impuesto-a-la-renta-y-quienes-deben-declararlo.html#:~:text=Es%20un%</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20impuesto</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%20que%</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20grava</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,Impuesto%20Global%</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20Complementario</w:t>
        </w:r>
      </w:hyperlink>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de Impuestos Internos. (s.f.). </w:t>
      </w:r>
      <w:r w:rsidDel="00000000" w:rsidR="00000000" w:rsidRPr="00000000">
        <w:rPr>
          <w:rFonts w:ascii="Times New Roman" w:cs="Times New Roman" w:eastAsia="Times New Roman" w:hAnsi="Times New Roman"/>
          <w:i w:val="1"/>
          <w:iCs w:val="1"/>
          <w:sz w:val="24"/>
          <w:szCs w:val="24"/>
          <w:rtl w:val="0"/>
        </w:rPr>
        <w:t xml:space="preserve">¿Qué es el Impuesto a la Renta y quiénes deben declararlo?.</w:t>
      </w:r>
      <w:r w:rsidDel="00000000" w:rsidR="00000000" w:rsidRPr="00000000">
        <w:rPr>
          <w:rFonts w:ascii="Times New Roman" w:cs="Times New Roman" w:eastAsia="Times New Roman" w:hAnsi="Times New Roman"/>
          <w:sz w:val="24"/>
          <w:szCs w:val="24"/>
          <w:rtl w:val="0"/>
        </w:rPr>
        <w:t xml:space="preserve"> </w:t>
      </w:r>
      <w:hyperlink r:id="rId22">
        <w:r w:rsidDel="00000000" w:rsidR="00000000" w:rsidRPr="00000000">
          <w:rPr>
            <w:rFonts w:ascii="Times New Roman" w:cs="Times New Roman" w:eastAsia="Times New Roman" w:hAnsi="Times New Roman"/>
            <w:color w:val="1155cc"/>
            <w:sz w:val="24"/>
            <w:szCs w:val="24"/>
            <w:u w:val="single"/>
            <w:rtl w:val="0"/>
          </w:rPr>
          <w:t xml:space="preserve">https://www.sii.cl/destacados/educacion/siieduca/aprende-con-nosotros/que-es-el-impuesto-a-la-renta-y-quienes-deben-declararlo.html</w:t>
        </w:r>
      </w:hyperlink>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tl w:val="0"/>
        </w:rPr>
      </w:r>
    </w:p>
    <w:sectPr>
      <w:headerReference r:id="rId23" w:type="default"/>
      <w:headerReference r:id="rId24" w:type="first"/>
      <w:footerReference r:id="rId25" w:type="default"/>
      <w:footerReference r:id="rId26" w:type="first"/>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“Los impuestos son los aportes en dinero que los ciudadanos están obligados por ley a pagar” (Servicio de Impuestos Internos, 2022).</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-409574</wp:posOffset>
          </wp:positionH>
          <wp:positionV relativeFrom="paragraph">
            <wp:posOffset>95250</wp:posOffset>
          </wp:positionV>
          <wp:extent cx="966788" cy="1333876"/>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966788" cy="133387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ii.cl/destacados/educacion/siieduca/aprende-con-nosotros/que-es-el-impuesto-a-la-renta-y-quienes-deben-declararlo.html#:~:text=Es%20un%20impuesto%20que%20grava,Impuesto%20Global%20Complementario" TargetMode="External"/><Relationship Id="rId22" Type="http://schemas.openxmlformats.org/officeDocument/2006/relationships/hyperlink" Target="https://www.sii.cl/destacados/educacion/siieduca/aprende-con-nosotros/que-es-el-impuesto-a-la-renta-y-quienes-deben-declararlo.html" TargetMode="External"/><Relationship Id="rId21" Type="http://schemas.openxmlformats.org/officeDocument/2006/relationships/hyperlink" Target="https://www.sii.cl/destacados/educacion/siieduca/aprende-con-nosotros/que-es-el-impuesto-a-la-renta-y-quienes-deben-declararlo.html#:~:text=Es%20un%20impuesto%20que%20grava,Impuesto%20Global%20Complementario"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obtienearchivo.bcn.cl/obtienearchivo?id=repositorio%2F10221%2F23711%2F1%2FProductividad+1er+informe+Final.pdf" TargetMode="External"/><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latercera.com/pulso/noticia/reforma-tributaria-tramos-mas-altos-de-ingresos-destinaran-4-meses-de-trabajo-para-el-fisco/VIWHPCSBQVCW7NIYJALECHDOJE/" TargetMode="External"/><Relationship Id="rId8" Type="http://schemas.openxmlformats.org/officeDocument/2006/relationships/hyperlink" Target="https://www.cepal.org/es/publicaciones/43678-herramientas-analisis-desigualdades-efecto-redistributivo-politicas-publicas" TargetMode="External"/><Relationship Id="rId11" Type="http://schemas.openxmlformats.org/officeDocument/2006/relationships/hyperlink" Target="https://www.tandfonline.com/doi/full/10.1080/00220388.2019.1595597" TargetMode="External"/><Relationship Id="rId10" Type="http://schemas.openxmlformats.org/officeDocument/2006/relationships/hyperlink" Target="http://dx.doi.org/10.4067/S0718-27242017000300008" TargetMode="External"/><Relationship Id="rId13" Type="http://schemas.openxmlformats.org/officeDocument/2006/relationships/hyperlink" Target="https://www.cepal.org/sites/default/files/publication/files/37881/S1420855_es.pdf" TargetMode="External"/><Relationship Id="rId12" Type="http://schemas.openxmlformats.org/officeDocument/2006/relationships/hyperlink" Target="https://es.wikipedia.org/wiki/Capitalismo_y_libertad" TargetMode="External"/><Relationship Id="rId15" Type="http://schemas.openxmlformats.org/officeDocument/2006/relationships/hyperlink" Target="https://www.sii.cl/aprenda_sobre_impuestos/estudios/diagnostico.htm#_Toc478981716" TargetMode="External"/><Relationship Id="rId14" Type="http://schemas.openxmlformats.org/officeDocument/2006/relationships/hyperlink" Target="https://www.sii.cl/aprenda_sobre_impuestos/estudios/diagnostico.htm#_Toc478981716" TargetMode="External"/><Relationship Id="rId17" Type="http://schemas.openxmlformats.org/officeDocument/2006/relationships/hyperlink" Target="https://www.sii.cl/destacados/educacion/siieduca/aprende-con-nosotros/que-es-el-impuesto-a-la-renta-y-quienes-deben-declararlo.html#:~:text=Es%20un%20impuesto%20que%20grava,Impuesto%20Global%20Complementario" TargetMode="External"/><Relationship Id="rId16" Type="http://schemas.openxmlformats.org/officeDocument/2006/relationships/hyperlink" Target="https://www.sii.cl/destacados/educacion/siieduca/aprende-con-nosotros/que-es-el-impuesto-a-la-renta-y-quienes-deben-declararlo.html#:~:text=Es%20un%20impuesto%20que%20grava,Impuesto%20Global%20Complementario" TargetMode="External"/><Relationship Id="rId19" Type="http://schemas.openxmlformats.org/officeDocument/2006/relationships/hyperlink" Target="https://www.sii.cl/destacados/educacion/siieduca/aprende-con-nosotros/que-es-el-impuesto-a-la-renta-y-quienes-deben-declararlo.html#:~:text=Es%20un%20impuesto%20que%20grava,Impuesto%20Global%20Complementario" TargetMode="External"/><Relationship Id="rId18" Type="http://schemas.openxmlformats.org/officeDocument/2006/relationships/hyperlink" Target="https://www.sii.cl/destacados/educacion/siieduca/aprende-con-nosotros/que-es-el-impuesto-a-la-renta-y-quienes-deben-declararlo.html#:~:text=Es%20un%20impuesto%20que%20grava,Impuesto%20Global%20Complementario"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