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03">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ICS2523- Microeconomics</w:t>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1"/>
        <w:spacing w:line="240" w:lineRule="auto"/>
        <w:jc w:val="left"/>
        <w:rPr>
          <w:rFonts w:ascii="Times New Roman" w:cs="Times New Roman" w:eastAsia="Times New Roman" w:hAnsi="Times New Roman"/>
        </w:rPr>
      </w:pPr>
      <w:bookmarkStart w:colFirst="0" w:colLast="0" w:name="_grrxf0l6ba7h" w:id="0"/>
      <w:bookmarkEnd w:id="0"/>
      <w:r w:rsidDel="00000000" w:rsidR="00000000" w:rsidRPr="00000000">
        <w:rPr>
          <w:rtl w:val="0"/>
        </w:rPr>
      </w:r>
    </w:p>
    <w:p w:rsidR="00000000" w:rsidDel="00000000" w:rsidP="00000000" w:rsidRDefault="00000000" w:rsidRPr="00000000" w14:paraId="00000013">
      <w:pPr>
        <w:pStyle w:val="Heading1"/>
        <w:spacing w:line="240" w:lineRule="auto"/>
        <w:jc w:val="center"/>
        <w:rPr>
          <w:rFonts w:ascii="Times New Roman" w:cs="Times New Roman" w:eastAsia="Times New Roman" w:hAnsi="Times New Roman"/>
        </w:rPr>
      </w:pPr>
      <w:bookmarkStart w:colFirst="0" w:colLast="0" w:name="_fzyr2z957hvy" w:id="1"/>
      <w:bookmarkEnd w:id="1"/>
      <w:r w:rsidDel="00000000" w:rsidR="00000000" w:rsidRPr="00000000">
        <w:rPr>
          <w:rFonts w:ascii="Times New Roman" w:cs="Times New Roman" w:eastAsia="Times New Roman" w:hAnsi="Times New Roman"/>
          <w:rtl w:val="0"/>
        </w:rPr>
        <w:t xml:space="preserve">Telefónica and its retirement from the Chilean market: </w:t>
      </w:r>
    </w:p>
    <w:p w:rsidR="00000000" w:rsidDel="00000000" w:rsidP="00000000" w:rsidRDefault="00000000" w:rsidRPr="00000000" w14:paraId="00000014">
      <w:pPr>
        <w:pStyle w:val="Heading1"/>
        <w:spacing w:line="240" w:lineRule="auto"/>
        <w:jc w:val="center"/>
        <w:rPr>
          <w:rFonts w:ascii="Times New Roman" w:cs="Times New Roman" w:eastAsia="Times New Roman" w:hAnsi="Times New Roman"/>
          <w:sz w:val="24"/>
          <w:szCs w:val="24"/>
        </w:rPr>
      </w:pPr>
      <w:bookmarkStart w:colFirst="0" w:colLast="0" w:name="_byumbrhvp9xy" w:id="2"/>
      <w:bookmarkEnd w:id="2"/>
      <w:r w:rsidDel="00000000" w:rsidR="00000000" w:rsidRPr="00000000">
        <w:rPr>
          <w:rFonts w:ascii="Times New Roman" w:cs="Times New Roman" w:eastAsia="Times New Roman" w:hAnsi="Times New Roman"/>
          <w:rtl w:val="0"/>
        </w:rPr>
        <w:t xml:space="preserve">An inevitable decision?</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 student number: </w:t>
      </w:r>
      <w:r w:rsidDel="00000000" w:rsidR="00000000" w:rsidRPr="00000000">
        <w:rPr>
          <w:rtl w:val="0"/>
        </w:rPr>
        <w:t xml:space="preserve"> 23200022</w:t>
      </w:r>
      <w:r w:rsidDel="00000000" w:rsidR="00000000" w:rsidRPr="00000000">
        <w:rPr>
          <w:rtl w:val="0"/>
        </w:rPr>
      </w:r>
    </w:p>
    <w:sdt>
      <w:sdtPr>
        <w:id w:val="1222018286"/>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zyr2z957hvy">
            <w:r w:rsidDel="00000000" w:rsidR="00000000" w:rsidRPr="00000000">
              <w:rPr>
                <w:i w:val="0"/>
                <w:iCs w:val="0"/>
                <w:smallCaps w:val="0"/>
                <w:strike w:val="0"/>
                <w:color w:val="000000"/>
                <w:sz w:val="22"/>
                <w:szCs w:val="22"/>
                <w:u w:val="none"/>
                <w:shd w:fill="auto" w:val="clear"/>
                <w:vertAlign w:val="baseline"/>
                <w:rtl w:val="0"/>
              </w:rPr>
              <w:t xml:space="preserve">Telefónica and its retirement from the Chilean market:</w:t>
            </w:r>
          </w:hyperlink>
          <w:r w:rsidDel="00000000" w:rsidR="00000000" w:rsidRPr="00000000">
            <w:rPr>
              <w:vertAlign w:val="baseline"/>
              <w:rtl w:val="0"/>
            </w:rPr>
            <w:t xml:space="preserve"> </w:t>
          </w:r>
          <w:hyperlink w:anchor="_byumbrhvp9xy">
            <w:r w:rsidDel="00000000" w:rsidR="00000000" w:rsidRPr="00000000">
              <w:rPr>
                <w:i w:val="0"/>
                <w:iCs w:val="0"/>
                <w:smallCaps w:val="0"/>
                <w:strike w:val="0"/>
                <w:color w:val="000000"/>
                <w:sz w:val="22"/>
                <w:szCs w:val="22"/>
                <w:u w:val="none"/>
                <w:shd w:fill="auto" w:val="clear"/>
                <w:vertAlign w:val="baseline"/>
                <w:rtl w:val="0"/>
              </w:rPr>
              <w:t xml:space="preserve">An inevitable decision?</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i51lrcowm8f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Introduction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8o1cdx1se7n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Context of national markets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kcbv4qfzvdp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III. Demand analysis: applied consumer theory</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mgzovu91m6v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IV. Producer theory: Telefónica's strategic adaptation</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r9ds74y2axh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 </w:t>
            </w:r>
          </w:hyperlink>
          <w:hyperlink w:anchor="_r9ds74y2axh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Conclusion</w:t>
            </w:r>
          </w:hyperlink>
          <w:hyperlink w:anchor="_r9ds74y2axh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o6vueglrdnp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 References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d347rd1dq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VII. Appendix</w:t>
            </w:r>
          </w:hyperlink>
          <w:hyperlink w:anchor="_vid347rd1dq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2"/>
        <w:rPr>
          <w:rFonts w:ascii="Times New Roman" w:cs="Times New Roman" w:eastAsia="Times New Roman" w:hAnsi="Times New Roman"/>
          <w:b w:val="1"/>
          <w:bCs w:val="1"/>
          <w:sz w:val="24"/>
          <w:szCs w:val="24"/>
        </w:rPr>
      </w:pPr>
      <w:bookmarkStart w:colFirst="0" w:colLast="0" w:name="_6gni7pdeqs7y" w:id="3"/>
      <w:bookmarkEnd w:id="3"/>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tjfji7ra76vy" w:id="4"/>
      <w:bookmarkEnd w:id="4"/>
      <w:r w:rsidDel="00000000" w:rsidR="00000000" w:rsidRPr="00000000">
        <w:rPr>
          <w:rtl w:val="0"/>
        </w:rPr>
      </w:r>
    </w:p>
    <w:p w:rsidR="00000000" w:rsidDel="00000000" w:rsidP="00000000" w:rsidRDefault="00000000" w:rsidRPr="00000000" w14:paraId="0000004E">
      <w:pPr>
        <w:pStyle w:val="Heading2"/>
        <w:keepNext w:val="0"/>
        <w:keepLines w:val="0"/>
        <w:numPr>
          <w:ilvl w:val="0"/>
          <w:numId w:val="3"/>
        </w:numPr>
        <w:spacing w:after="80" w:lineRule="auto"/>
        <w:ind w:left="720" w:hanging="360"/>
        <w:rPr>
          <w:rFonts w:ascii="Times New Roman" w:cs="Times New Roman" w:eastAsia="Times New Roman" w:hAnsi="Times New Roman"/>
          <w:b w:val="1"/>
          <w:bCs w:val="1"/>
          <w:sz w:val="24"/>
          <w:szCs w:val="24"/>
        </w:rPr>
      </w:pPr>
      <w:bookmarkStart w:colFirst="0" w:colLast="0" w:name="_i51lrcowm8fw" w:id="5"/>
      <w:bookmarkEnd w:id="5"/>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process of recovery of global markets after the COVID-19 pandemic, and in the midst of a profound transformation of consumer preferences, several companies have had to make important strategic decisions. In this context, and as a particular case, the following hypothesis arises: is the withdrawal of Telefónica (Movistar) from the Chilean market a simple business adjustment or does it respond to a structural change in the market? Our hypothesis argues that Telefónica's exit is not an isolated event, but the result of a set of internal and external factors that have continuously redefined the rules of the game, to the point where its permanence becomes </w:t>
      </w:r>
      <w:r w:rsidDel="00000000" w:rsidR="00000000" w:rsidRPr="00000000">
        <w:rPr>
          <w:rFonts w:ascii="Times New Roman" w:cs="Times New Roman" w:eastAsia="Times New Roman" w:hAnsi="Times New Roman"/>
          <w:sz w:val="24"/>
          <w:szCs w:val="24"/>
          <w:rtl w:val="0"/>
        </w:rPr>
        <w:t xml:space="preserve">unfeasible</w:t>
      </w:r>
      <w:r w:rsidDel="00000000" w:rsidR="00000000" w:rsidRPr="00000000">
        <w:rPr>
          <w:rFonts w:ascii="Times New Roman" w:cs="Times New Roman" w:eastAsia="Times New Roman" w:hAnsi="Times New Roman"/>
          <w:sz w:val="24"/>
          <w:szCs w:val="24"/>
          <w:rtl w:val="0"/>
        </w:rPr>
        <w:t xml:space="preserve">. To develop this analysis, we will address the following topics: the national context of consumers and market, the behavior of demand according to the consumer theory, the strategic restructuring of Telefónica from the producer theory, and the analysis of the financial results that support its decision. Finally, we will synthesize our main findings in the conclusion.</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purposes of this paper, we will refer to the fixed Internet services, mobile telephony, mobile plans and other services currently offered by telecommunications companies as “telefonías”. </w:t>
      </w:r>
      <w:r w:rsidDel="00000000" w:rsidR="00000000" w:rsidRPr="00000000">
        <w:rPr>
          <w:rtl w:val="0"/>
        </w:rPr>
      </w:r>
    </w:p>
    <w:p w:rsidR="00000000" w:rsidDel="00000000" w:rsidP="00000000" w:rsidRDefault="00000000" w:rsidRPr="00000000" w14:paraId="00000051">
      <w:pPr>
        <w:pStyle w:val="Heading2"/>
        <w:keepNext w:val="0"/>
        <w:keepLines w:val="0"/>
        <w:numPr>
          <w:ilvl w:val="0"/>
          <w:numId w:val="3"/>
        </w:numPr>
        <w:spacing w:after="80" w:lineRule="auto"/>
        <w:ind w:left="720" w:hanging="360"/>
        <w:rPr>
          <w:rFonts w:ascii="Times New Roman" w:cs="Times New Roman" w:eastAsia="Times New Roman" w:hAnsi="Times New Roman"/>
          <w:b w:val="1"/>
          <w:bCs w:val="1"/>
          <w:sz w:val="24"/>
          <w:szCs w:val="24"/>
        </w:rPr>
      </w:pPr>
      <w:bookmarkStart w:colFirst="0" w:colLast="0" w:name="_8o1cdx1se7nv" w:id="6"/>
      <w:bookmarkEnd w:id="6"/>
      <w:r w:rsidDel="00000000" w:rsidR="00000000" w:rsidRPr="00000000">
        <w:rPr>
          <w:rFonts w:ascii="Times New Roman" w:cs="Times New Roman" w:eastAsia="Times New Roman" w:hAnsi="Times New Roman"/>
          <w:b w:val="1"/>
          <w:bCs w:val="1"/>
          <w:sz w:val="24"/>
          <w:szCs w:val="24"/>
          <w:rtl w:val="0"/>
        </w:rPr>
        <w:t xml:space="preserve">Context of national markets</w:t>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Chilean telephony market is characterized as a concentrated oligopoly</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four operators control approximately 98% of the mobile market. These operators are Entel, with a 47.5% share, followed by WOM, Claro-VTR and Movistar, the latter being the operator with the smallest market share (25.6%) (Subtel, 2023). In this scenario, operators compete with each other to attract consumers who, in their purchase decision, must choose among a few alternatives which, from an economic perspective, are essentially considered substitutes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It should be clarified that, in practice, Chilean consumers tend to contract services with only one operator, and the average monthly expenditure per household on telecommunications services is around CLP $17,000 (Subtel, 2023).</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what events have shaped the current context?Several events have impacted the markets in recent years, such as the war between Russia and Ukraine, the trade war between the United States and China, and, for the purposes of this analysis, the most relevant: the COVID-19 pandemic (2019-2021)</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The latter redefined the priorities of consumers and, consequently, of producers.The need to maintain economic continuity -through remote work and virtual education-, together with the attention to basic needs such as food, housing and health, altered the elasticity of demand for certain goods. Although telecommunications services historically present elasticity greater than or equal to 1, during the pandemic they behaved as inelastic goods: a clear example is that the demand for fixed internet in Chilean households increased by 8.5 percentage points in 2020 (Subtel, 2021), evidencing that, informally, users prioritized better connectivity even over other less essential needs. In this context, Movistar increased its residential fixed connections by 25.7%, thus validating this phenomenon. </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scenario began to reverse with the progressive return to post-pandemic face-to-face, which over the years brought most markets back to normal. We can assume that the communications market showed a contraction in the demand for data-intensive services. Is this assumption valid? The data apparently seems to confirm it: between December 2023 and December 2024, Movistar lost 53,854 residential fixed internet connections in Chile (América Retail, 2025), showing a loss of significant returns. However, this decrease does not reflect a generalized decline in telecommunications usage, but a shift in preferences towards competitors such as WOM, who captured those customers. In simple terms, consumers switched operators, as their preferences were no longer satisfied by Movistar. Thus, it can be seen that the use of connectivity services did not decrease after the pandemic; what changed were the market participants.</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several years after normalization, the after-effects of this adjustment process still persist. There is </w:t>
      </w:r>
      <w:r w:rsidDel="00000000" w:rsidR="00000000" w:rsidRPr="00000000">
        <w:rPr>
          <w:rFonts w:ascii="Times New Roman" w:cs="Times New Roman" w:eastAsia="Times New Roman" w:hAnsi="Times New Roman"/>
          <w:sz w:val="24"/>
          <w:szCs w:val="24"/>
          <w:rtl w:val="0"/>
        </w:rPr>
        <w:t xml:space="preserve">still an accommodation</w:t>
      </w:r>
      <w:r w:rsidDel="00000000" w:rsidR="00000000" w:rsidRPr="00000000">
        <w:rPr>
          <w:rFonts w:ascii="Times New Roman" w:cs="Times New Roman" w:eastAsia="Times New Roman" w:hAnsi="Times New Roman"/>
          <w:sz w:val="24"/>
          <w:szCs w:val="24"/>
          <w:rtl w:val="0"/>
        </w:rPr>
        <w:t xml:space="preserve"> in the markets, and a clear example of this is the abandonment of Movistar as a producer in the Chilean telecommunications market.</w:t>
      </w:r>
      <w:r w:rsidDel="00000000" w:rsidR="00000000" w:rsidRPr="00000000">
        <w:rPr>
          <w:rtl w:val="0"/>
        </w:rPr>
      </w:r>
    </w:p>
    <w:p w:rsidR="00000000" w:rsidDel="00000000" w:rsidP="00000000" w:rsidRDefault="00000000" w:rsidRPr="00000000" w14:paraId="00000059">
      <w:pPr>
        <w:pStyle w:val="Heading2"/>
        <w:keepNext w:val="0"/>
        <w:keepLines w:val="0"/>
        <w:numPr>
          <w:ilvl w:val="0"/>
          <w:numId w:val="3"/>
        </w:numPr>
        <w:spacing w:after="80" w:lineRule="auto"/>
        <w:ind w:left="720" w:hanging="360"/>
        <w:rPr>
          <w:rFonts w:ascii="Times New Roman" w:cs="Times New Roman" w:eastAsia="Times New Roman" w:hAnsi="Times New Roman"/>
          <w:b w:val="1"/>
          <w:bCs w:val="1"/>
          <w:sz w:val="24"/>
          <w:szCs w:val="24"/>
        </w:rPr>
      </w:pPr>
      <w:bookmarkStart w:colFirst="0" w:colLast="0" w:name="_kcbv4qfzvdpi" w:id="7"/>
      <w:bookmarkEnd w:id="7"/>
      <w:r w:rsidDel="00000000" w:rsidR="00000000" w:rsidRPr="00000000">
        <w:rPr>
          <w:rFonts w:ascii="Times New Roman" w:cs="Times New Roman" w:eastAsia="Times New Roman" w:hAnsi="Times New Roman"/>
          <w:b w:val="1"/>
          <w:bCs w:val="1"/>
          <w:sz w:val="24"/>
          <w:szCs w:val="24"/>
          <w:rtl w:val="0"/>
        </w:rPr>
        <w:t xml:space="preserve">Demand analysis: applied consumer theory</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point of view of consumer theory, the behavior observed during the rearrangement of demand for Movistar's telephone services in the post-pandemic period can be explained theoretically. To do so, we define that consumers seek to maximize their satisfaction from the combination of goods or services they consume. Given that telephony services are substitutes -that is, consumers opt for one or another operator-, if they are not satisfied, they will change provider, looking for an alternative that provides them with greater utility.</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context, it is important to analyze the evolution of user satisfaction with the different operators. A first approach is to understand the perception of consumers, considering that mobile telephony services account for nearly 40% of complaints to SERNAC and SUBTEL, which shows a generalized level of dissatisfaction. However, to be even more precise, let us examine how these complaints are distributed among the different companies: </w:t>
      </w:r>
    </w:p>
    <w:p w:rsidR="00000000" w:rsidDel="00000000" w:rsidP="00000000" w:rsidRDefault="00000000" w:rsidRPr="00000000" w14:paraId="0000005C">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telephony, Móvil Falabella has the highest unfavorable response rate (69.2%), while Claro has the lowest (21%).</w:t>
      </w:r>
    </w:p>
    <w:p w:rsidR="00000000" w:rsidDel="00000000" w:rsidP="00000000" w:rsidRDefault="00000000" w:rsidRPr="00000000" w14:paraId="0000005D">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Internet, WOM has the highest rate (73.1%) and Claro the lowest (27.4%).</w:t>
      </w:r>
    </w:p>
    <w:p w:rsidR="00000000" w:rsidDel="00000000" w:rsidP="00000000" w:rsidRDefault="00000000" w:rsidRPr="00000000" w14:paraId="0000005E">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multiservices, VTR leads in unfavorable response (70%), while Entel has the lowest (21.4%). </w:t>
      </w:r>
    </w:p>
    <w:p w:rsidR="00000000" w:rsidDel="00000000" w:rsidP="00000000" w:rsidRDefault="00000000" w:rsidRPr="00000000" w14:paraId="0000005F">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telephony, </w:t>
      </w:r>
      <w:r w:rsidDel="00000000" w:rsidR="00000000" w:rsidRPr="00000000">
        <w:rPr>
          <w:rFonts w:ascii="Times New Roman" w:cs="Times New Roman" w:eastAsia="Times New Roman" w:hAnsi="Times New Roman"/>
          <w:b w:val="1"/>
          <w:bCs w:val="1"/>
          <w:sz w:val="24"/>
          <w:szCs w:val="24"/>
          <w:rtl w:val="0"/>
        </w:rPr>
        <w:t xml:space="preserve">Movistar </w:t>
      </w:r>
      <w:r w:rsidDel="00000000" w:rsidR="00000000" w:rsidRPr="00000000">
        <w:rPr>
          <w:rFonts w:ascii="Times New Roman" w:cs="Times New Roman" w:eastAsia="Times New Roman" w:hAnsi="Times New Roman"/>
          <w:sz w:val="24"/>
          <w:szCs w:val="24"/>
          <w:rtl w:val="0"/>
        </w:rPr>
        <w:t xml:space="preserve">has the highest unfavorable response rate (56.8%) and Entel the lowest (19.9%).</w:t>
      </w:r>
    </w:p>
    <w:p w:rsidR="00000000" w:rsidDel="00000000" w:rsidP="00000000" w:rsidRDefault="00000000" w:rsidRPr="00000000" w14:paraId="00000060">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Internet, </w:t>
      </w:r>
      <w:r w:rsidDel="00000000" w:rsidR="00000000" w:rsidRPr="00000000">
        <w:rPr>
          <w:rFonts w:ascii="Times New Roman" w:cs="Times New Roman" w:eastAsia="Times New Roman" w:hAnsi="Times New Roman"/>
          <w:b w:val="1"/>
          <w:bCs w:val="1"/>
          <w:sz w:val="24"/>
          <w:szCs w:val="24"/>
          <w:rtl w:val="0"/>
        </w:rPr>
        <w:t xml:space="preserve">Movistar </w:t>
      </w:r>
      <w:r w:rsidDel="00000000" w:rsidR="00000000" w:rsidRPr="00000000">
        <w:rPr>
          <w:rFonts w:ascii="Times New Roman" w:cs="Times New Roman" w:eastAsia="Times New Roman" w:hAnsi="Times New Roman"/>
          <w:sz w:val="24"/>
          <w:szCs w:val="24"/>
          <w:rtl w:val="0"/>
        </w:rPr>
        <w:t xml:space="preserve">again leads negatively with 66.1%, and Claro is positioned as the best evaluated with 27.7%.</w:t>
      </w:r>
    </w:p>
    <w:p w:rsidR="00000000" w:rsidDel="00000000" w:rsidP="00000000" w:rsidRDefault="00000000" w:rsidRPr="00000000" w14:paraId="00000061">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multiservices, Telefónica del Sur reaches the highest rate (54.5%), while Claro maintains the lowest (16.7%).</w:t>
      </w:r>
    </w:p>
    <w:p w:rsidR="00000000" w:rsidDel="00000000" w:rsidP="00000000" w:rsidRDefault="00000000" w:rsidRPr="00000000" w14:paraId="00000062">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TV, </w:t>
      </w:r>
      <w:r w:rsidDel="00000000" w:rsidR="00000000" w:rsidRPr="00000000">
        <w:rPr>
          <w:rFonts w:ascii="Times New Roman" w:cs="Times New Roman" w:eastAsia="Times New Roman" w:hAnsi="Times New Roman"/>
          <w:b w:val="1"/>
          <w:bCs w:val="1"/>
          <w:sz w:val="24"/>
          <w:szCs w:val="24"/>
          <w:rtl w:val="0"/>
        </w:rPr>
        <w:t xml:space="preserve">Movistar </w:t>
      </w:r>
      <w:r w:rsidDel="00000000" w:rsidR="00000000" w:rsidRPr="00000000">
        <w:rPr>
          <w:rFonts w:ascii="Times New Roman" w:cs="Times New Roman" w:eastAsia="Times New Roman" w:hAnsi="Times New Roman"/>
          <w:sz w:val="24"/>
          <w:szCs w:val="24"/>
          <w:rtl w:val="0"/>
        </w:rPr>
        <w:t xml:space="preserve">recorded the highest unfavorable response rate (58.1%) compared to 16.4% for Claro.</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review, it can be seen that although Movistar has high levels of complaints in some services - principally pay television and fixed services - it does not necessarily lead in complaints in all categories. In fact, Claro and VTR account for the majority of unfavorable responses in other segments. In addition, it is interesting to consider another piece of information: according to the Speedtest Awards Chile Q1-Q2 2023 home internet speed awards, delivered by Ookla, Movistar Fibra was recognized as the fastest network in the country, achieving a Speed Score™ of 306.86 . This casts doubt on whether the loss of customers is exclusively due to poor quality of service, since, in some aspects, Movistar even leads in technical performance.</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question arises: is it really the quality of service that has motivated consumers to abandon Movistar? From the background presented, we infer that consumers have not left Movistar because of poor service per se. In fact, the company has been positively highlighted in terms of internet speed. Thus, we propose as a sub-hypothesis that the real causes of Movistar's exit from the Chilean market are associated with its cost structure, a possible lack of innovation compared to its competitors, and internal administrative factors rather than deficiencies in the final service delivered. These aspects will be discussed in more detail below.</w:t>
      </w:r>
      <w:r w:rsidDel="00000000" w:rsidR="00000000" w:rsidRPr="00000000">
        <w:rPr>
          <w:rtl w:val="0"/>
        </w:rPr>
      </w:r>
    </w:p>
    <w:p w:rsidR="00000000" w:rsidDel="00000000" w:rsidP="00000000" w:rsidRDefault="00000000" w:rsidRPr="00000000" w14:paraId="00000065">
      <w:pPr>
        <w:pStyle w:val="Heading2"/>
        <w:keepNext w:val="0"/>
        <w:keepLines w:val="0"/>
        <w:numPr>
          <w:ilvl w:val="0"/>
          <w:numId w:val="3"/>
        </w:numPr>
        <w:spacing w:after="80" w:lineRule="auto"/>
        <w:ind w:left="720" w:hanging="360"/>
        <w:rPr>
          <w:rFonts w:ascii="Times New Roman" w:cs="Times New Roman" w:eastAsia="Times New Roman" w:hAnsi="Times New Roman"/>
          <w:b w:val="1"/>
          <w:bCs w:val="1"/>
          <w:sz w:val="24"/>
          <w:szCs w:val="24"/>
        </w:rPr>
      </w:pPr>
      <w:bookmarkStart w:colFirst="0" w:colLast="0" w:name="_mgzovu91m6vs" w:id="8"/>
      <w:bookmarkEnd w:id="8"/>
      <w:r w:rsidDel="00000000" w:rsidR="00000000" w:rsidRPr="00000000">
        <w:rPr>
          <w:rFonts w:ascii="Times New Roman" w:cs="Times New Roman" w:eastAsia="Times New Roman" w:hAnsi="Times New Roman"/>
          <w:b w:val="1"/>
          <w:bCs w:val="1"/>
          <w:sz w:val="24"/>
          <w:szCs w:val="24"/>
          <w:rtl w:val="0"/>
        </w:rPr>
        <w:t xml:space="preserve">Producer theory: Telefónica's strategic adaptation</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Telefónica's performance from a producer theory perspective, it is essential to understand its business model and how it generates value. Telefónica operates through four integrated platforms, designed to offer a differentiated and personalized value proposition to its customers:</w:t>
      </w:r>
    </w:p>
    <w:p w:rsidR="00000000" w:rsidDel="00000000" w:rsidP="00000000" w:rsidRDefault="00000000" w:rsidRPr="00000000" w14:paraId="00000067">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 and Physical Assets:</w:t>
      </w:r>
      <w:r w:rsidDel="00000000" w:rsidR="00000000" w:rsidRPr="00000000">
        <w:rPr>
          <w:rFonts w:ascii="Times New Roman" w:cs="Times New Roman" w:eastAsia="Times New Roman" w:hAnsi="Times New Roman"/>
          <w:sz w:val="24"/>
          <w:szCs w:val="24"/>
          <w:rtl w:val="0"/>
        </w:rPr>
        <w:t xml:space="preserve"> This platform represents the basis of Telefónica's operation, characterized by a significant investment in physical infrastructure. It includes fixed and mobile networks, whose purpose is to guarantee high speed, capacity and coverage. From the producer's theory, these assets constitute the company's physical capital, an essential factor for the production of telecommunications services.</w:t>
      </w:r>
    </w:p>
    <w:p w:rsidR="00000000" w:rsidDel="00000000" w:rsidP="00000000" w:rsidRDefault="00000000" w:rsidRPr="00000000" w14:paraId="00000068">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and Digitalization Systems:</w:t>
      </w:r>
      <w:r w:rsidDel="00000000" w:rsidR="00000000" w:rsidRPr="00000000">
        <w:rPr>
          <w:rFonts w:ascii="Times New Roman" w:cs="Times New Roman" w:eastAsia="Times New Roman" w:hAnsi="Times New Roman"/>
          <w:sz w:val="24"/>
          <w:szCs w:val="24"/>
          <w:rtl w:val="0"/>
        </w:rPr>
        <w:t xml:space="preserve"> This platform encompasses the support and commercial systems that digitize Telefónica's value chain. Process automation and real-time management are key elements, enabling greater operational efficiency. In terms of producer theory, digitization represents an investment in technology that seeks to optimize the production function.</w:t>
      </w:r>
    </w:p>
    <w:p w:rsidR="00000000" w:rsidDel="00000000" w:rsidP="00000000" w:rsidRDefault="00000000" w:rsidRPr="00000000" w14:paraId="00000069">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 Services for Customers:</w:t>
      </w:r>
      <w:r w:rsidDel="00000000" w:rsidR="00000000" w:rsidRPr="00000000">
        <w:rPr>
          <w:rFonts w:ascii="Times New Roman" w:cs="Times New Roman" w:eastAsia="Times New Roman" w:hAnsi="Times New Roman"/>
          <w:sz w:val="24"/>
          <w:szCs w:val="24"/>
          <w:rtl w:val="0"/>
        </w:rPr>
        <w:t xml:space="preserve"> Telefónica offers a broad portfolio of products that combine connectivity with value-added digital services. This offering includes video, music, cloud services, gaming and security solutions. From a producer theory perspective, this platform focuses on diversifying production to meet the diverse needs of the market.</w:t>
      </w:r>
    </w:p>
    <w:p w:rsidR="00000000" w:rsidDel="00000000" w:rsidP="00000000" w:rsidRDefault="00000000" w:rsidRPr="00000000" w14:paraId="0000006A">
      <w:pPr>
        <w:numPr>
          <w:ilvl w:val="0"/>
          <w:numId w:val="6"/>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Cognitive Intelligence and Big Data</w:t>
      </w:r>
      <w:r w:rsidDel="00000000" w:rsidR="00000000" w:rsidRPr="00000000">
        <w:rPr>
          <w:rFonts w:ascii="Times New Roman" w:cs="Times New Roman" w:eastAsia="Times New Roman" w:hAnsi="Times New Roman"/>
          <w:sz w:val="24"/>
          <w:szCs w:val="24"/>
          <w:rtl w:val="0"/>
        </w:rPr>
        <w:t xml:space="preserve">: This platform uses advanced data analytics to improve customer relationships, optimize services and develop new business opportunities. Artificial intelligence and cognitive capabilities are key tools for innovation and efficiency. In the context of producer theory, this platform seeks to use information as an asset to improve decision-making and productivity.</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Telefónica's performance from the producer theory, it is useful to examine its latest public financial statement. This document provides a macro view of the company's assets, liabilities, investments and expenses during the last accounting year.</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statements reveal several pieces of information relevant to our analysis:</w:t>
      </w:r>
    </w:p>
    <w:p w:rsidR="00000000" w:rsidDel="00000000" w:rsidP="00000000" w:rsidRDefault="00000000" w:rsidRPr="00000000" w14:paraId="0000006D">
      <w:pPr>
        <w:numPr>
          <w:ilvl w:val="0"/>
          <w:numId w:val="9"/>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Revenues and Production:</w:t>
      </w:r>
      <w:r w:rsidDel="00000000" w:rsidR="00000000" w:rsidRPr="00000000">
        <w:rPr>
          <w:rFonts w:ascii="Times New Roman" w:cs="Times New Roman" w:eastAsia="Times New Roman" w:hAnsi="Times New Roman"/>
          <w:sz w:val="24"/>
          <w:szCs w:val="24"/>
          <w:rtl w:val="0"/>
        </w:rPr>
        <w:t xml:space="preserve"> Revenues from ordinary activities represent the monetary value of Telefónica's production. In 2024, these revenues amounted to 1,616,994,464 M$. This value is the result of the volume of telecommunications services sold multiplied by the selling price. From the producer theory, revenues are the result of the production function, which transforms inputs into outputs (services).</w:t>
      </w:r>
    </w:p>
    <w:p w:rsidR="00000000" w:rsidDel="00000000" w:rsidP="00000000" w:rsidRDefault="00000000" w:rsidRPr="00000000" w14:paraId="0000006E">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Production Costs:</w:t>
      </w:r>
      <w:r w:rsidDel="00000000" w:rsidR="00000000" w:rsidRPr="00000000">
        <w:rPr>
          <w:rFonts w:ascii="Times New Roman" w:cs="Times New Roman" w:eastAsia="Times New Roman" w:hAnsi="Times New Roman"/>
          <w:sz w:val="24"/>
          <w:szCs w:val="24"/>
          <w:rtl w:val="0"/>
        </w:rPr>
        <w:t xml:space="preserve"> The financial statements detail various types of expenses, which are essential to understand Telefónica's production costs:</w:t>
      </w:r>
    </w:p>
    <w:p w:rsidR="00000000" w:rsidDel="00000000" w:rsidP="00000000" w:rsidRDefault="00000000" w:rsidRPr="00000000" w14:paraId="0000006F">
      <w:pPr>
        <w:numPr>
          <w:ilvl w:val="1"/>
          <w:numId w:val="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Employee benefits expenses:</w:t>
      </w:r>
      <w:r w:rsidDel="00000000" w:rsidR="00000000" w:rsidRPr="00000000">
        <w:rPr>
          <w:rFonts w:ascii="Times New Roman" w:cs="Times New Roman" w:eastAsia="Times New Roman" w:hAnsi="Times New Roman"/>
          <w:sz w:val="24"/>
          <w:szCs w:val="24"/>
          <w:rtl w:val="0"/>
        </w:rPr>
        <w:t xml:space="preserve"> In 2024, these expenses amounted to 153,223,369 M$. They include wages, salaries and other labor-related benefits. From the producer's theory, labor is a variable production factor.</w:t>
      </w:r>
    </w:p>
    <w:p w:rsidR="00000000" w:rsidDel="00000000" w:rsidP="00000000" w:rsidRDefault="00000000" w:rsidRPr="00000000" w14:paraId="00000070">
      <w:pPr>
        <w:numPr>
          <w:ilvl w:val="1"/>
          <w:numId w:val="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Depreciation and amortization expense:</w:t>
      </w:r>
      <w:r w:rsidDel="00000000" w:rsidR="00000000" w:rsidRPr="00000000">
        <w:rPr>
          <w:rFonts w:ascii="Times New Roman" w:cs="Times New Roman" w:eastAsia="Times New Roman" w:hAnsi="Times New Roman"/>
          <w:sz w:val="24"/>
          <w:szCs w:val="24"/>
          <w:rtl w:val="0"/>
        </w:rPr>
        <w:t xml:space="preserve"> In 2024, these expenses were 331,479,561 M$. They represent the wear and tear of physical capital (property, plant and equipment) and the amortization of intangible assets. Depreciation is a fixed cost in the short term, associated with the use of capital.</w:t>
      </w:r>
    </w:p>
    <w:p w:rsidR="00000000" w:rsidDel="00000000" w:rsidP="00000000" w:rsidRDefault="00000000" w:rsidRPr="00000000" w14:paraId="00000071">
      <w:pPr>
        <w:numPr>
          <w:ilvl w:val="1"/>
          <w:numId w:val="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expenses:</w:t>
      </w:r>
      <w:r w:rsidDel="00000000" w:rsidR="00000000" w:rsidRPr="00000000">
        <w:rPr>
          <w:rFonts w:ascii="Times New Roman" w:cs="Times New Roman" w:eastAsia="Times New Roman" w:hAnsi="Times New Roman"/>
          <w:sz w:val="24"/>
          <w:szCs w:val="24"/>
          <w:rtl w:val="0"/>
        </w:rPr>
        <w:t xml:space="preserve"> In 2024, these expenses amounted to 1,454,825,953 M$. They include a variety of items such as media rental, cost of sale of inventories, fiber optic network connectivity services, customer services, advertising, interconnections and roaming, and indemnities. These expenses can have both fixed and variable components.</w:t>
      </w:r>
    </w:p>
    <w:p w:rsidR="00000000" w:rsidDel="00000000" w:rsidP="00000000" w:rsidRDefault="00000000" w:rsidRPr="00000000" w14:paraId="00000072">
      <w:pPr>
        <w:numPr>
          <w:ilvl w:val="0"/>
          <w:numId w:val="9"/>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Capital Expenditures:</w:t>
      </w:r>
      <w:r w:rsidDel="00000000" w:rsidR="00000000" w:rsidRPr="00000000">
        <w:rPr>
          <w:rFonts w:ascii="Times New Roman" w:cs="Times New Roman" w:eastAsia="Times New Roman" w:hAnsi="Times New Roman"/>
          <w:sz w:val="24"/>
          <w:szCs w:val="24"/>
          <w:rtl w:val="0"/>
        </w:rPr>
        <w:t xml:space="preserve"> In 2024, the investment in these fixed assets was $922,984,455 million. These assets are essential for the production of telecommunications services and represent the company's physical capital.</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it is complex to determine the exact fixed and variable costs, we can make an approximation based on the nature of the expenses:</w:t>
      </w:r>
    </w:p>
    <w:p w:rsidR="00000000" w:rsidDel="00000000" w:rsidP="00000000" w:rsidRDefault="00000000" w:rsidRPr="00000000" w14:paraId="00000074">
      <w:pPr>
        <w:numPr>
          <w:ilvl w:val="0"/>
          <w:numId w:val="5"/>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Approximate Fixed Costs: </w:t>
      </w:r>
      <w:r w:rsidDel="00000000" w:rsidR="00000000" w:rsidRPr="00000000">
        <w:rPr>
          <w:rFonts w:ascii="Times New Roman" w:cs="Times New Roman" w:eastAsia="Times New Roman" w:hAnsi="Times New Roman"/>
          <w:sz w:val="24"/>
          <w:szCs w:val="24"/>
          <w:rtl w:val="0"/>
        </w:rPr>
        <w:t xml:space="preserve">767,927,347 M$.</w:t>
      </w:r>
    </w:p>
    <w:p w:rsidR="00000000" w:rsidDel="00000000" w:rsidP="00000000" w:rsidRDefault="00000000" w:rsidRPr="00000000" w14:paraId="00000075">
      <w:pPr>
        <w:numPr>
          <w:ilvl w:val="0"/>
          <w:numId w:val="5"/>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Approximate Variable Costs:</w:t>
      </w:r>
      <w:r w:rsidDel="00000000" w:rsidR="00000000" w:rsidRPr="00000000">
        <w:rPr>
          <w:rFonts w:ascii="Times New Roman" w:cs="Times New Roman" w:eastAsia="Times New Roman" w:hAnsi="Times New Roman"/>
          <w:sz w:val="24"/>
          <w:szCs w:val="24"/>
          <w:rtl w:val="0"/>
        </w:rPr>
        <w:t xml:space="preserve"> 1,640,700,029 M$.</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observed that Telefónica has variable costs significantly higher than fixed costs. This is explained by the nature of variable costs, which include concepts such as the cost of sales of inventories and commissions, network services and customer service, and employee benefit expenses. In addition, it is important to note that the total amount of costs exceeds revenues, which could indicate a situation of declining economy or an investment phase that implies periods of lower profits. We can observe that from a financial point of view, movistar is not experiencing its best moment, which is why we ask ourselves the question, has movistar taken a proactive or passive stance?</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Telefónica faced a cost structure that, in a market of decreasing prices, was unsustainable in the medium term. To maximize profits (or minimize losses), the company implemented strategies to reduce fixed costs and optimize its capital structure, which makes us understand that they have taken a proactive stance.</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this adaptation is the sale in 2021 of 60% of its fiber optic network to the investment firm KKR. This decision sought to obtain immediate liquidity and reduce exposure to direct investment in infrastructure. This type of action reflects Telefónica's attempt to transform fixed costs into variable costs, seeking greater flexibility in an uncertain market.</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information available, we can analyze the possible reasons why Telefónica could consider restructuring or closing operations in certain areas:</w:t>
      </w:r>
    </w:p>
    <w:p w:rsidR="00000000" w:rsidDel="00000000" w:rsidP="00000000" w:rsidRDefault="00000000" w:rsidRPr="00000000" w14:paraId="0000007A">
      <w:pPr>
        <w:numPr>
          <w:ilvl w:val="0"/>
          <w:numId w:val="1"/>
        </w:numP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Losses and Profitability:</w:t>
      </w:r>
    </w:p>
    <w:p w:rsidR="00000000" w:rsidDel="00000000" w:rsidP="00000000" w:rsidRDefault="00000000" w:rsidRPr="00000000" w14:paraId="0000007B">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has reported significant losses in 2024, with a loss from operating activities of 377,080,786 M$ and a net loss of 446,551,493 M$. This may lead us to suspect that this is not a one-off performance, but rather, a declining performance from previous periods.</w:t>
      </w:r>
    </w:p>
    <w:p w:rsidR="00000000" w:rsidDel="00000000" w:rsidP="00000000" w:rsidRDefault="00000000" w:rsidRPr="00000000" w14:paraId="0000007C">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return on equity has also decreased, reaching -41.2% in 2024.</w:t>
      </w:r>
    </w:p>
    <w:p w:rsidR="00000000" w:rsidDel="00000000" w:rsidP="00000000" w:rsidRDefault="00000000" w:rsidRPr="00000000" w14:paraId="0000007D">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producer theory, profit maximization is a central objective. Continued losses may force a company to rethink its operational viability, restructure its operations or even consider exiting the market.</w:t>
      </w:r>
    </w:p>
    <w:p w:rsidR="00000000" w:rsidDel="00000000" w:rsidP="00000000" w:rsidRDefault="00000000" w:rsidRPr="00000000" w14:paraId="0000007E">
      <w:pPr>
        <w:numPr>
          <w:ilvl w:val="0"/>
          <w:numId w:val="1"/>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Decreasing Revenues:</w:t>
      </w:r>
    </w:p>
    <w:p w:rsidR="00000000" w:rsidDel="00000000" w:rsidP="00000000" w:rsidRDefault="00000000" w:rsidRPr="00000000" w14:paraId="0000007F">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from ordinary activities decreased from $1,698,143,827 M in 2023 to $1,616,994,464 M in 2024. A decrease in revenue may be indicative of lower demand, increased competition or problems in pricing strategy. Producer theory suggests that the company should adjust its production, pricing or product mix to improve revenues.</w:t>
      </w:r>
    </w:p>
    <w:p w:rsidR="00000000" w:rsidDel="00000000" w:rsidP="00000000" w:rsidRDefault="00000000" w:rsidRPr="00000000" w14:paraId="00000080">
      <w:pPr>
        <w:numPr>
          <w:ilvl w:val="0"/>
          <w:numId w:val="1"/>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Efficiency and Costs:</w:t>
      </w:r>
    </w:p>
    <w:p w:rsidR="00000000" w:rsidDel="00000000" w:rsidP="00000000" w:rsidRDefault="00000000" w:rsidRPr="00000000" w14:paraId="00000081">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has incurred high expenses, including employee benefit expenses ($153,223,369 M) and other expenses ($1,454,825,953 M).The producer theory emphasizes the importance of efficiency and cost minimization. If a company cannot control its costs, its profitability is threatened. </w:t>
      </w:r>
    </w:p>
    <w:p w:rsidR="00000000" w:rsidDel="00000000" w:rsidP="00000000" w:rsidRDefault="00000000" w:rsidRPr="00000000" w14:paraId="00000082">
      <w:pPr>
        <w:numPr>
          <w:ilvl w:val="0"/>
          <w:numId w:val="1"/>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Investment and Capital:</w:t>
      </w:r>
    </w:p>
    <w:p w:rsidR="00000000" w:rsidDel="00000000" w:rsidP="00000000" w:rsidRDefault="00000000" w:rsidRPr="00000000" w14:paraId="00000083">
      <w:pPr>
        <w:numPr>
          <w:ilvl w:val="1"/>
          <w:numId w:val="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has considerable investment in non-current assets, such as property, plant and equipment ($922,984,455 M) and intangible assets ($226,478,217 M). The producer theory also addresses the efficient allocation of capital. If these assets do not generate sufficient income, the company may consider divesting or restructuring its assets.</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Possible Reasons for Closure or Restructuring (from Producer Theory)</w:t>
      </w:r>
    </w:p>
    <w:p w:rsidR="00000000" w:rsidDel="00000000" w:rsidP="00000000" w:rsidRDefault="00000000" w:rsidRPr="00000000" w14:paraId="00000085">
      <w:pPr>
        <w:numPr>
          <w:ilvl w:val="0"/>
          <w:numId w:val="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Financial Unsustainability: Persistent losses and low profitability can make operations unsustainable in the long term.</w:t>
      </w:r>
    </w:p>
    <w:p w:rsidR="00000000" w:rsidDel="00000000" w:rsidP="00000000" w:rsidRDefault="00000000" w:rsidRPr="00000000" w14:paraId="00000086">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Operational Inefficiency: Inability to operate efficiently and control costs can compromise the company's competitiveness.</w:t>
      </w:r>
    </w:p>
    <w:p w:rsidR="00000000" w:rsidDel="00000000" w:rsidP="00000000" w:rsidRDefault="00000000" w:rsidRPr="00000000" w14:paraId="00000087">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Market Changes: Changes in demand, competition or technology can affect the viability of the business model.</w:t>
      </w:r>
    </w:p>
    <w:p w:rsidR="00000000" w:rsidDel="00000000" w:rsidP="00000000" w:rsidRDefault="00000000" w:rsidRPr="00000000" w14:paraId="00000088">
      <w:pPr>
        <w:numPr>
          <w:ilvl w:val="0"/>
          <w:numId w:val="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Resource Misallocation: Inefficient resource utilization may require restructuring or divestiture.</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Telefónica has implemented a divestment process in Latin America, as announced in 2025, with the intention of selling its subsidiaries in Chile, Ecuador, Uruguay and Mexico (Espinoza &amp; Espinoza, 2025). This decision reflects a strategy of prioritizing more profitable and stable markets in Europe, as opposed to the more competitive and volatile markets in Latin America.</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note that while we have used producer theory as an analytical framework, accounting analysis is critical to assess the financial health of the company. Telefónica's recent financial statements show deteriorating operating margins in its Latin American operations. Despite the growth in the number of connections during the pandemic, rising costs and falling post-pandemic revenues have negatively affected profitability.</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migration of users to more aggressively priced operators and the increase in infrastructure costs that cannot be passed on to final prices have led to a situation in which profit maximization has become difficult. In this context, the decision to withdraw from certain markets can be interpreted as a rational response to structural changes in market conditions.</w:t>
      </w:r>
      <w:r w:rsidDel="00000000" w:rsidR="00000000" w:rsidRPr="00000000">
        <w:rPr>
          <w:rtl w:val="0"/>
        </w:rPr>
      </w:r>
    </w:p>
    <w:p w:rsidR="00000000" w:rsidDel="00000000" w:rsidP="00000000" w:rsidRDefault="00000000" w:rsidRPr="00000000" w14:paraId="0000008C">
      <w:pPr>
        <w:pStyle w:val="Heading2"/>
        <w:keepNext w:val="0"/>
        <w:keepLines w:val="0"/>
        <w:numPr>
          <w:ilvl w:val="0"/>
          <w:numId w:val="3"/>
        </w:numPr>
        <w:spacing w:after="80" w:lineRule="auto"/>
        <w:ind w:left="720" w:hanging="360"/>
        <w:rPr>
          <w:rFonts w:ascii="Times New Roman" w:cs="Times New Roman" w:eastAsia="Times New Roman" w:hAnsi="Times New Roman"/>
          <w:b w:val="1"/>
          <w:bCs w:val="1"/>
          <w:sz w:val="24"/>
          <w:szCs w:val="24"/>
        </w:rPr>
      </w:pPr>
      <w:bookmarkStart w:colFirst="0" w:colLast="0" w:name="_r9ds74y2axhp" w:id="9"/>
      <w:bookmarkEnd w:id="9"/>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light of the analysis carried out, we can affirm that the initial hypothesis is confirmed: the withdrawal of Telefónica (Movistar) from the Chilean market is not an isolated event or a simple business adjustment, but rather responds to a profound structural change in the telecommunications market. This change has been driven by a combination of internal and external factors.</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demand behavior was radically transformed during the pandemic, increasing the importance of telecommunications services in the home. However, with the return to face-to-face, there was no contraction in overall demand, but rather a redistribution of consumers to operators offering more attractive or innovative conditions. Movistar, despite maintaining high technical standards in some services (such as internet speed), did not manage to fully adapt to the new market preferences or to the differentiation strategies adopted by its competitors.</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from the producer's perspective, Telefónica's heavy cost structure, coupled with the complexity of its operation in Chile, affected its competitiveness vis-à-vis new, more agile players. Its business model, highly dependent on physical infrastructure and capital-intensive investments, became less sustainable in an environment where flexibility, digital innovation and personalized services became key.</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financial results reflect that, despite considerable revenues, profitability margins and future projections no longer justified its permanence in the Chilean market, especially compared to other investment opportunities in the region.</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simple terms, Telefónica's exit is the inevitable consequence of a structural transformation: a more dynamic market, more demanding demand and competition that evolved faster than the company's ability to adapt.</w:t>
      </w:r>
    </w:p>
    <w:p w:rsidR="00000000" w:rsidDel="00000000" w:rsidP="00000000" w:rsidRDefault="00000000" w:rsidRPr="00000000" w14:paraId="00000092">
      <w:pPr>
        <w:pStyle w:val="Heading2"/>
        <w:numPr>
          <w:ilvl w:val="0"/>
          <w:numId w:val="3"/>
        </w:numPr>
        <w:spacing w:after="0" w:afterAutospacing="0"/>
        <w:ind w:left="720" w:hanging="360"/>
        <w:rPr>
          <w:rFonts w:ascii="Times New Roman" w:cs="Times New Roman" w:eastAsia="Times New Roman" w:hAnsi="Times New Roman"/>
          <w:b w:val="1"/>
          <w:bCs w:val="1"/>
          <w:sz w:val="24"/>
          <w:szCs w:val="24"/>
        </w:rPr>
      </w:pPr>
      <w:bookmarkStart w:colFirst="0" w:colLast="0" w:name="_o6vueglrdnpe" w:id="10"/>
      <w:bookmarkEnd w:id="10"/>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93">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América Retail. (s.f.). </w:t>
      </w:r>
      <w:r w:rsidDel="00000000" w:rsidR="00000000" w:rsidRPr="00000000">
        <w:rPr>
          <w:rFonts w:ascii="Times New Roman" w:cs="Times New Roman" w:eastAsia="Times New Roman" w:hAnsi="Times New Roman"/>
          <w:i w:val="1"/>
          <w:iCs w:val="1"/>
          <w:sz w:val="24"/>
          <w:szCs w:val="24"/>
          <w:rtl w:val="0"/>
        </w:rPr>
        <w:t xml:space="preserve">Las telecos con mayor fuga de clientes en Chile</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https://america-retail.com/paises/chile/las-telecos-con-mayor-fuga-de-clientes-en-chile/</w:t>
        </w:r>
      </w:hyperlink>
      <w:r w:rsidDel="00000000" w:rsidR="00000000" w:rsidRPr="00000000">
        <w:rPr>
          <w:rtl w:val="0"/>
        </w:rPr>
      </w:r>
    </w:p>
    <w:p w:rsidR="00000000" w:rsidDel="00000000" w:rsidP="00000000" w:rsidRDefault="00000000" w:rsidRPr="00000000" w14:paraId="00000094">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Bloomberg Terminal. (2024). </w:t>
      </w:r>
      <w:r w:rsidDel="00000000" w:rsidR="00000000" w:rsidRPr="00000000">
        <w:rPr>
          <w:rFonts w:ascii="Times New Roman" w:cs="Times New Roman" w:eastAsia="Times New Roman" w:hAnsi="Times New Roman"/>
          <w:i w:val="1"/>
          <w:iCs w:val="1"/>
          <w:sz w:val="24"/>
          <w:szCs w:val="24"/>
          <w:rtl w:val="0"/>
        </w:rPr>
        <w:t xml:space="preserve">Datos macroeconómicos internacionales</w:t>
      </w:r>
      <w:r w:rsidDel="00000000" w:rsidR="00000000" w:rsidRPr="00000000">
        <w:rPr>
          <w:rFonts w:ascii="Times New Roman" w:cs="Times New Roman" w:eastAsia="Times New Roman" w:hAnsi="Times New Roman"/>
          <w:sz w:val="24"/>
          <w:szCs w:val="24"/>
          <w:rtl w:val="0"/>
        </w:rPr>
        <w:t xml:space="preserve">. [Base de datos privada].</w:t>
      </w:r>
    </w:p>
    <w:p w:rsidR="00000000" w:rsidDel="00000000" w:rsidP="00000000" w:rsidRDefault="00000000" w:rsidRPr="00000000" w14:paraId="00000095">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Economipedia. Roldán, P. N. (2025, marzo 10). </w:t>
      </w:r>
      <w:r w:rsidDel="00000000" w:rsidR="00000000" w:rsidRPr="00000000">
        <w:rPr>
          <w:rFonts w:ascii="Times New Roman" w:cs="Times New Roman" w:eastAsia="Times New Roman" w:hAnsi="Times New Roman"/>
          <w:i w:val="1"/>
          <w:iCs w:val="1"/>
          <w:sz w:val="24"/>
          <w:szCs w:val="24"/>
          <w:rtl w:val="0"/>
        </w:rPr>
        <w:t xml:space="preserve">Oligopolio: Qué es, características y ejemplos</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https://economipedia.com/definiciones/oligopolio.html</w:t>
        </w:r>
      </w:hyperlink>
      <w:r w:rsidDel="00000000" w:rsidR="00000000" w:rsidRPr="00000000">
        <w:rPr>
          <w:rtl w:val="0"/>
        </w:rPr>
      </w:r>
    </w:p>
    <w:p w:rsidR="00000000" w:rsidDel="00000000" w:rsidP="00000000" w:rsidRDefault="00000000" w:rsidRPr="00000000" w14:paraId="00000096">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Espinoza, W., &amp; Espinoza, W. (2025, abril 23). </w:t>
      </w:r>
      <w:r w:rsidDel="00000000" w:rsidR="00000000" w:rsidRPr="00000000">
        <w:rPr>
          <w:rFonts w:ascii="Times New Roman" w:cs="Times New Roman" w:eastAsia="Times New Roman" w:hAnsi="Times New Roman"/>
          <w:i w:val="1"/>
          <w:iCs w:val="1"/>
          <w:sz w:val="24"/>
          <w:szCs w:val="24"/>
          <w:rtl w:val="0"/>
        </w:rPr>
        <w:t xml:space="preserve">Adiós a Movistar: compañía española planea dejar estos 4 países de Latinoamérica tras su venta en Colombia y Perú</w:t>
      </w:r>
      <w:r w:rsidDel="00000000" w:rsidR="00000000" w:rsidRPr="00000000">
        <w:rPr>
          <w:rFonts w:ascii="Times New Roman" w:cs="Times New Roman" w:eastAsia="Times New Roman" w:hAnsi="Times New Roman"/>
          <w:sz w:val="24"/>
          <w:szCs w:val="24"/>
          <w:rtl w:val="0"/>
        </w:rPr>
        <w:t xml:space="preserve">. La República. </w:t>
      </w:r>
      <w:hyperlink r:id="rId9">
        <w:r w:rsidDel="00000000" w:rsidR="00000000" w:rsidRPr="00000000">
          <w:rPr>
            <w:rFonts w:ascii="Times New Roman" w:cs="Times New Roman" w:eastAsia="Times New Roman" w:hAnsi="Times New Roman"/>
            <w:color w:val="1155cc"/>
            <w:sz w:val="24"/>
            <w:szCs w:val="24"/>
            <w:u w:val="single"/>
            <w:rtl w:val="0"/>
          </w:rPr>
          <w:t xml:space="preserve">https://larepublica.pe/datos-lr/2025/04/17/adios-movistar-compania-espanola-planea-dejar-estos-4-paises-de-latinoamerica-tras-su-venta-en-colombia-y-peru-lrtmc-431188</w:t>
        </w:r>
      </w:hyperlink>
      <w:r w:rsidDel="00000000" w:rsidR="00000000" w:rsidRPr="00000000">
        <w:rPr>
          <w:rtl w:val="0"/>
        </w:rPr>
      </w:r>
    </w:p>
    <w:p w:rsidR="00000000" w:rsidDel="00000000" w:rsidP="00000000" w:rsidRDefault="00000000" w:rsidRPr="00000000" w14:paraId="00000097">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Ookla. (2023). </w:t>
      </w:r>
      <w:r w:rsidDel="00000000" w:rsidR="00000000" w:rsidRPr="00000000">
        <w:rPr>
          <w:rFonts w:ascii="Times New Roman" w:cs="Times New Roman" w:eastAsia="Times New Roman" w:hAnsi="Times New Roman"/>
          <w:i w:val="1"/>
          <w:iCs w:val="1"/>
          <w:sz w:val="24"/>
          <w:szCs w:val="24"/>
          <w:rtl w:val="0"/>
        </w:rPr>
        <w:t xml:space="preserve">Speedtest Awards Chile Q1–Q2</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https://www.speedtest.net/awards/chile</w:t>
        </w:r>
      </w:hyperlink>
      <w:r w:rsidDel="00000000" w:rsidR="00000000" w:rsidRPr="00000000">
        <w:rPr>
          <w:rtl w:val="0"/>
        </w:rPr>
      </w:r>
    </w:p>
    <w:p w:rsidR="00000000" w:rsidDel="00000000" w:rsidP="00000000" w:rsidRDefault="00000000" w:rsidRPr="00000000" w14:paraId="00000098">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SERNAC. (2023). </w:t>
      </w:r>
      <w:r w:rsidDel="00000000" w:rsidR="00000000" w:rsidRPr="00000000">
        <w:rPr>
          <w:rFonts w:ascii="Times New Roman" w:cs="Times New Roman" w:eastAsia="Times New Roman" w:hAnsi="Times New Roman"/>
          <w:i w:val="1"/>
          <w:iCs w:val="1"/>
          <w:sz w:val="24"/>
          <w:szCs w:val="24"/>
          <w:rtl w:val="0"/>
        </w:rPr>
        <w:t xml:space="preserve">Informe de reclamos en telecomunicaciones</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https://www.sernac.cl</w:t>
        </w:r>
      </w:hyperlink>
      <w:r w:rsidDel="00000000" w:rsidR="00000000" w:rsidRPr="00000000">
        <w:rPr>
          <w:rtl w:val="0"/>
        </w:rPr>
      </w:r>
    </w:p>
    <w:p w:rsidR="00000000" w:rsidDel="00000000" w:rsidP="00000000" w:rsidRDefault="00000000" w:rsidRPr="00000000" w14:paraId="00000099">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Subsecretaría de Telecomunicaciones de Chile. (2020). </w:t>
      </w:r>
      <w:r w:rsidDel="00000000" w:rsidR="00000000" w:rsidRPr="00000000">
        <w:rPr>
          <w:rFonts w:ascii="Times New Roman" w:cs="Times New Roman" w:eastAsia="Times New Roman" w:hAnsi="Times New Roman"/>
          <w:i w:val="1"/>
          <w:iCs w:val="1"/>
          <w:sz w:val="24"/>
          <w:szCs w:val="24"/>
          <w:rtl w:val="0"/>
        </w:rPr>
        <w:t xml:space="preserve">II Encuesta de satisfacción de usuarios 2020</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https://www.subtel.gob.cl/wp-content/uploads/2022/05/Informe_II_Encuesta_de_Satisfaccion_de_Usuarios_22_12_2020.pdf</w:t>
        </w:r>
      </w:hyperlink>
      <w:r w:rsidDel="00000000" w:rsidR="00000000" w:rsidRPr="00000000">
        <w:rPr>
          <w:rtl w:val="0"/>
        </w:rPr>
      </w:r>
    </w:p>
    <w:p w:rsidR="00000000" w:rsidDel="00000000" w:rsidP="00000000" w:rsidRDefault="00000000" w:rsidRPr="00000000" w14:paraId="0000009A">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Telefónica Chile. (2024). </w:t>
      </w:r>
      <w:r w:rsidDel="00000000" w:rsidR="00000000" w:rsidRPr="00000000">
        <w:rPr>
          <w:rFonts w:ascii="Times New Roman" w:cs="Times New Roman" w:eastAsia="Times New Roman" w:hAnsi="Times New Roman"/>
          <w:i w:val="1"/>
          <w:iCs w:val="1"/>
          <w:sz w:val="24"/>
          <w:szCs w:val="24"/>
          <w:rtl w:val="0"/>
        </w:rPr>
        <w:t xml:space="preserve">Información financiera – Income Statements</w:t>
      </w:r>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https://telefonica.cl/accionistas-e-inversionistas/telefonica-moviles-chile-s-a/informacion-financiera-income-statements/</w:t>
          <w:br w:type="textWrapping"/>
        </w:r>
      </w:hyperlink>
      <w:r w:rsidDel="00000000" w:rsidR="00000000" w:rsidRPr="00000000">
        <w:rPr>
          <w:rtl w:val="0"/>
        </w:rPr>
      </w:r>
    </w:p>
    <w:p w:rsidR="00000000" w:rsidDel="00000000" w:rsidP="00000000" w:rsidRDefault="00000000" w:rsidRPr="00000000" w14:paraId="0000009B">
      <w:pPr>
        <w:pStyle w:val="Heading2"/>
        <w:numPr>
          <w:ilvl w:val="0"/>
          <w:numId w:val="3"/>
        </w:numPr>
        <w:spacing w:after="0" w:afterAutospacing="0" w:before="0" w:beforeAutospacing="0" w:line="240" w:lineRule="auto"/>
        <w:ind w:left="720" w:hanging="360"/>
        <w:jc w:val="both"/>
        <w:rPr>
          <w:rFonts w:ascii="Times New Roman" w:cs="Times New Roman" w:eastAsia="Times New Roman" w:hAnsi="Times New Roman"/>
          <w:b w:val="1"/>
          <w:bCs w:val="1"/>
          <w:sz w:val="24"/>
          <w:szCs w:val="24"/>
        </w:rPr>
      </w:pPr>
      <w:bookmarkStart w:colFirst="0" w:colLast="0" w:name="_vid347rd1dqf" w:id="11"/>
      <w:bookmarkEnd w:id="11"/>
      <w:r w:rsidDel="00000000" w:rsidR="00000000" w:rsidRPr="00000000">
        <w:rPr>
          <w:rFonts w:ascii="Times New Roman" w:cs="Times New Roman" w:eastAsia="Times New Roman" w:hAnsi="Times New Roman"/>
          <w:b w:val="1"/>
          <w:bCs w:val="1"/>
          <w:sz w:val="24"/>
          <w:szCs w:val="24"/>
          <w:rtl w:val="0"/>
        </w:rPr>
        <w:t xml:space="preserve">Appendix</w:t>
      </w:r>
      <w:r w:rsidDel="00000000" w:rsidR="00000000" w:rsidRPr="00000000">
        <w:rPr>
          <w:rtl w:val="0"/>
        </w:rPr>
      </w:r>
    </w:p>
    <w:p w:rsidR="00000000" w:rsidDel="00000000" w:rsidP="00000000" w:rsidRDefault="00000000" w:rsidRPr="00000000" w14:paraId="0000009C">
      <w:pPr>
        <w:numPr>
          <w:ilvl w:val="0"/>
          <w:numId w:val="8"/>
        </w:numPr>
        <w:ind w:left="720" w:hanging="36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Access to artificial intelligence support resource</w:t>
        </w:r>
      </w:hyperlink>
      <w:r w:rsidDel="00000000" w:rsidR="00000000" w:rsidRPr="00000000">
        <w:rPr>
          <w:rtl w:val="0"/>
        </w:rPr>
      </w:r>
    </w:p>
    <w:p w:rsidR="00000000" w:rsidDel="00000000" w:rsidP="00000000" w:rsidRDefault="00000000" w:rsidRPr="00000000" w14:paraId="0000009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line="240" w:lineRule="auto"/>
        <w:ind w:left="0" w:firstLine="0"/>
        <w:rPr>
          <w:rFonts w:ascii="Times New Roman" w:cs="Times New Roman" w:eastAsia="Times New Roman" w:hAnsi="Times New Roman"/>
          <w:color w:val="1155cc"/>
          <w:sz w:val="24"/>
          <w:szCs w:val="24"/>
          <w:highlight w:val="white"/>
          <w:u w:val="single"/>
        </w:rPr>
      </w:pPr>
      <w:r w:rsidDel="00000000" w:rsidR="00000000" w:rsidRPr="00000000">
        <w:rPr>
          <w:rtl w:val="0"/>
        </w:rPr>
      </w:r>
    </w:p>
    <w:sectPr>
      <w:headerReference r:id="rId15" w:type="default"/>
      <w:headerReference r:id="rId16" w:type="first"/>
      <w:footerReference r:id="rId17" w:type="default"/>
      <w:footerReference r:id="rId18" w:type="first"/>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An oligopoly is a type of market in which only a few companies compete with each other, and each of them has the ability to influence prices and the quantity of products available (Roldán, 2025).</w:t>
      </w:r>
    </w:p>
  </w:footnote>
  <w:footnote w:id="1">
    <w:p w:rsidR="00000000" w:rsidDel="00000000" w:rsidP="00000000" w:rsidRDefault="00000000" w:rsidRPr="00000000" w14:paraId="000000A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Assumption that we will take, due to consumer behavior, in which in practice they opt for a single operator.</w:t>
      </w:r>
      <w:r w:rsidDel="00000000" w:rsidR="00000000" w:rsidRPr="00000000">
        <w:rPr>
          <w:rtl w:val="0"/>
        </w:rPr>
      </w:r>
    </w:p>
  </w:footnote>
  <w:footnote w:id="2">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pandemic is assumed to have had a greater impact on markets than other recent events, based on the drop in GDP in several countries during that period. Results obtained via Bloomberg terminal data analysis.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-409574</wp:posOffset>
          </wp:positionH>
          <wp:positionV relativeFrom="paragraph">
            <wp:posOffset>95250</wp:posOffset>
          </wp:positionV>
          <wp:extent cx="928688" cy="12744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28688" cy="12744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ernac.cl/" TargetMode="External"/><Relationship Id="rId10" Type="http://schemas.openxmlformats.org/officeDocument/2006/relationships/hyperlink" Target="https://www.speedtest.net/awards/chile" TargetMode="External"/><Relationship Id="rId13" Type="http://schemas.openxmlformats.org/officeDocument/2006/relationships/hyperlink" Target="https://telefonica.cl/accionistas-e-inversionistas/telefonica-moviles-chile-s-a/informacion-financiera-income-statements/" TargetMode="External"/><Relationship Id="rId12" Type="http://schemas.openxmlformats.org/officeDocument/2006/relationships/hyperlink" Target="https://www.subtel.gob.cl/wp-content/uploads/2022/05/Informe_II_Encuesta_de_Satisfaccion_de_Usuarios_22_12_202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larepublica.pe/datos-lr/2025/04/17/adios-movistar-compania-espanola-planea-dejar-estos-4-paises-de-latinoamerica-tras-su-venta-en-colombia-y-peru-lrtmc-431188" TargetMode="External"/><Relationship Id="rId15" Type="http://schemas.openxmlformats.org/officeDocument/2006/relationships/header" Target="header1.xml"/><Relationship Id="rId14" Type="http://schemas.openxmlformats.org/officeDocument/2006/relationships/hyperlink" Target="https://chatgpt.com/share/680fa4b0-fea8-8007-9136-7ac9031a125f"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hyperlink" Target="https://america-retail.com/paises/chile/las-telecos-con-mayor-fuga-de-clientes-en-chile/" TargetMode="External"/><Relationship Id="rId8" Type="http://schemas.openxmlformats.org/officeDocument/2006/relationships/hyperlink" Target="https://economipedia.com/definiciones/oligopolio.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