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Pontificia Universidad Católica de Chile</w:t>
      </w:r>
    </w:p>
    <w:p w:rsidR="00000000" w:rsidDel="00000000" w:rsidP="00000000" w:rsidRDefault="00000000" w:rsidRPr="00000000" w14:paraId="00000003">
      <w:pPr>
        <w:spacing w:line="360" w:lineRule="auto"/>
        <w:ind w:left="1133.8582677165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ICS2523- Microeconomics</w:t>
      </w:r>
    </w:p>
    <w:p w:rsidR="00000000" w:rsidDel="00000000" w:rsidP="00000000" w:rsidRDefault="00000000" w:rsidRPr="00000000" w14:paraId="0000000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pStyle w:val="Heading1"/>
        <w:spacing w:line="360" w:lineRule="auto"/>
        <w:jc w:val="left"/>
        <w:rPr>
          <w:rFonts w:ascii="Times New Roman" w:cs="Times New Roman" w:eastAsia="Times New Roman" w:hAnsi="Times New Roman"/>
        </w:rPr>
      </w:pPr>
      <w:bookmarkStart w:colFirst="0" w:colLast="0" w:name="_grrxf0l6ba7h" w:id="0"/>
      <w:bookmarkEnd w:id="0"/>
      <w:r w:rsidDel="00000000" w:rsidR="00000000" w:rsidRPr="00000000">
        <w:rPr>
          <w:rtl w:val="0"/>
        </w:rPr>
      </w:r>
    </w:p>
    <w:p w:rsidR="00000000" w:rsidDel="00000000" w:rsidP="00000000" w:rsidRDefault="00000000" w:rsidRPr="00000000" w14:paraId="0000000F">
      <w:pPr>
        <w:pStyle w:val="Title"/>
        <w:spacing w:line="360" w:lineRule="auto"/>
        <w:jc w:val="center"/>
        <w:rPr>
          <w:rFonts w:ascii="Times New Roman" w:cs="Times New Roman" w:eastAsia="Times New Roman" w:hAnsi="Times New Roman"/>
          <w:sz w:val="48"/>
          <w:szCs w:val="48"/>
        </w:rPr>
      </w:pPr>
      <w:bookmarkStart w:colFirst="0" w:colLast="0" w:name="_nxzk7rdymvwj" w:id="1"/>
      <w:bookmarkEnd w:id="1"/>
      <w:r w:rsidDel="00000000" w:rsidR="00000000" w:rsidRPr="00000000">
        <w:rPr>
          <w:rFonts w:ascii="Times New Roman" w:cs="Times New Roman" w:eastAsia="Times New Roman" w:hAnsi="Times New Roman"/>
          <w:sz w:val="48"/>
          <w:szCs w:val="48"/>
          <w:rtl w:val="0"/>
        </w:rPr>
        <w:t xml:space="preserve">Subsidios al Transporte Público: ¿Inversión Estratégica o Gasto Insuficiente? </w:t>
      </w:r>
    </w:p>
    <w:p w:rsidR="00000000" w:rsidDel="00000000" w:rsidP="00000000" w:rsidRDefault="00000000" w:rsidRPr="00000000" w14:paraId="00000010">
      <w:pPr>
        <w:pStyle w:val="Subtitle"/>
        <w:spacing w:line="360" w:lineRule="auto"/>
        <w:jc w:val="center"/>
        <w:rPr>
          <w:rFonts w:ascii="Times New Roman" w:cs="Times New Roman" w:eastAsia="Times New Roman" w:hAnsi="Times New Roman"/>
          <w:sz w:val="24"/>
          <w:szCs w:val="24"/>
        </w:rPr>
      </w:pPr>
      <w:bookmarkStart w:colFirst="0" w:colLast="0" w:name="_61cttex54wb9" w:id="2"/>
      <w:bookmarkEnd w:id="2"/>
      <w:r w:rsidDel="00000000" w:rsidR="00000000" w:rsidRPr="00000000">
        <w:rPr>
          <w:rFonts w:ascii="Times New Roman" w:cs="Times New Roman" w:eastAsia="Times New Roman" w:hAnsi="Times New Roman"/>
          <w:sz w:val="24"/>
          <w:szCs w:val="24"/>
          <w:rtl w:val="0"/>
        </w:rPr>
        <w:t xml:space="preserve">Lecciones de Londres para las futuras Reforma de Transantiago/RED</w:t>
      </w:r>
    </w:p>
    <w:p w:rsidR="00000000" w:rsidDel="00000000" w:rsidP="00000000" w:rsidRDefault="00000000" w:rsidRPr="00000000" w14:paraId="00000011">
      <w:pPr>
        <w:pStyle w:val="Heading1"/>
        <w:spacing w:line="360" w:lineRule="auto"/>
        <w:jc w:val="left"/>
        <w:rPr>
          <w:rFonts w:ascii="Times New Roman" w:cs="Times New Roman" w:eastAsia="Times New Roman" w:hAnsi="Times New Roman"/>
          <w:sz w:val="24"/>
          <w:szCs w:val="24"/>
        </w:rPr>
      </w:pPr>
      <w:bookmarkStart w:colFirst="0" w:colLast="0" w:name="_byumbrhvp9xy" w:id="3"/>
      <w:bookmarkEnd w:id="3"/>
      <w:r w:rsidDel="00000000" w:rsidR="00000000" w:rsidRPr="00000000">
        <w:rPr>
          <w:rtl w:val="0"/>
        </w:rPr>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rPr/>
      </w:pPr>
      <w:r w:rsidDel="00000000" w:rsidR="00000000" w:rsidRPr="00000000">
        <w:rPr>
          <w:rFonts w:ascii="Times New Roman" w:cs="Times New Roman" w:eastAsia="Times New Roman" w:hAnsi="Times New Roman"/>
          <w:sz w:val="24"/>
          <w:szCs w:val="24"/>
          <w:rtl w:val="0"/>
        </w:rPr>
        <w:t xml:space="preserve">Franco Nicolai Corvalán Mansourova –  student number: </w:t>
      </w:r>
      <w:r w:rsidDel="00000000" w:rsidR="00000000" w:rsidRPr="00000000">
        <w:rPr>
          <w:rtl w:val="0"/>
        </w:rPr>
        <w:t xml:space="preserve"> 23200022</w:t>
      </w:r>
    </w:p>
    <w:p w:rsidR="00000000" w:rsidDel="00000000" w:rsidP="00000000" w:rsidRDefault="00000000" w:rsidRPr="00000000" w14:paraId="0000001D">
      <w:pPr>
        <w:pStyle w:val="Heading2"/>
        <w:numPr>
          <w:ilvl w:val="0"/>
          <w:numId w:val="1"/>
        </w:numPr>
        <w:spacing w:line="360" w:lineRule="auto"/>
        <w:ind w:left="720" w:hanging="360"/>
        <w:rPr>
          <w:rFonts w:ascii="Times New Roman" w:cs="Times New Roman" w:eastAsia="Times New Roman" w:hAnsi="Times New Roman"/>
          <w:b w:val="1"/>
          <w:bCs w:val="1"/>
          <w:sz w:val="24"/>
          <w:szCs w:val="24"/>
          <w:u w:val="none"/>
        </w:rPr>
      </w:pPr>
      <w:bookmarkStart w:colFirst="0" w:colLast="0" w:name="_g4c0cbkco9gz" w:id="4"/>
      <w:bookmarkEnd w:id="4"/>
      <w:r w:rsidDel="00000000" w:rsidR="00000000" w:rsidRPr="00000000">
        <w:rPr>
          <w:rFonts w:ascii="Times New Roman" w:cs="Times New Roman" w:eastAsia="Times New Roman" w:hAnsi="Times New Roman"/>
          <w:b w:val="1"/>
          <w:bCs w:val="1"/>
          <w:sz w:val="24"/>
          <w:szCs w:val="24"/>
          <w:rtl w:val="0"/>
        </w:rPr>
        <w:t xml:space="preserve"> Índex:</w:t>
      </w:r>
    </w:p>
    <w:sdt>
      <w:sdtPr>
        <w:id w:val="218769686"/>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2,2,Heading 3,3,Heading 4,4,Heading 5,5,Heading 6,6,"</w:instrText>
            <w:fldChar w:fldCharType="separate"/>
          </w:r>
          <w:hyperlink w:anchor="_g4c0cbkco9g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Índex:</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51lrcowm8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Introduction</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o9foggzvmz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Teoría Económica de los Subsidios al Transporte vs. Realidad</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1o37kf6y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IV. Sistema de Incentivos y Desincentivos en los Sistemas de Transporte</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1v0tz2hv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Comparación Internacional - El Caso de Londres</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ds74y2ax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Conclusion</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6vueglrdn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 References</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d347rd1d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VIII. Appendix</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pPr>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p>
    <w:p w:rsidR="00000000" w:rsidDel="00000000" w:rsidP="00000000" w:rsidRDefault="00000000" w:rsidRPr="00000000" w14:paraId="0000003F">
      <w:pPr>
        <w:pStyle w:val="Heading2"/>
        <w:keepNext w:val="0"/>
        <w:keepLines w:val="0"/>
        <w:numPr>
          <w:ilvl w:val="0"/>
          <w:numId w:val="1"/>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i51lrcowm8fw" w:id="5"/>
      <w:bookmarkEnd w:id="5"/>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40">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efervescente discusión sobre la movilidad urbana en Santiago, una pregunta resuena con particular fuerza: ¿un mayor número de subsidios se traduce necesariamente en un mejor transporte público? Esta pregunta se ha vuelto central en los debates sobre movilidad urbana en Santiago, particularmente ante el aumento sostenido de los subsidios gubernamentales asignados al sistema de transporte público y la persistencia de problemas estructurales como la evasión de tarifas, la congestión vial y la percepción de baja calidad del servicio. Desde su implementación en 2007, el sistema Transantiago —ahora conocido como Red Metropolitana de Movilidad (RED)— ha estado bajo intenso escrutinio técnico y público, principalmente debido a su alto costo fiscal: en algunos años, los subsidios han superado los 700 millones de dólares anuales (Ministerio de Transportes y Telecomunicaciones, 2022). Sin embargo, esta importante inversión pública no siempre se ha traducido en una mejora proporcional de la experiencia del usuario ni en un aumento sostenido de la demanda. En este contexto, surge una pregunta crucial. Nuestra hipótesis central es que, si bien los subsidios pueden justificar su rol en el transporte público, su eficiencia y eficacia dependen de una integración con la planificación estratégica, el monitoreo del desempeño y una gobernanza institucional robusta, más allá de la mera inyección de fondos.</w:t>
      </w:r>
    </w:p>
    <w:p w:rsidR="00000000" w:rsidDel="00000000" w:rsidP="00000000" w:rsidRDefault="00000000" w:rsidRPr="00000000" w14:paraId="00000041">
      <w:pPr>
        <w:spacing w:after="240" w:before="240" w:line="360" w:lineRule="auto"/>
        <w:ind w:left="0" w:firstLine="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Este análisis es particularmente relevante porque nos permite ir más allá de la dicotomía simplista de “más o menos subsidios” y profundizar en el diseño de políticas públicas verdaderamente efectivas y sostenibles a largo plazo. Mediante una revisión de la literatura económica —como el trabajo de Parry y Small (2007), que examina los beneficios sociales del transporte público y los efectos de los subsidios amplios en el bienestar general—, así como estudios locales y comparativos, este ensayo busca contribuir a un debate más informado y matizado sobre el rol del Estado en la provisión de transporte urbano. En particular, argumenta que, si bien los subsidios pueden justificarse por las externalidades positivas que genera el transporte público —como la reducción de la congestión, la contaminación y la desigualdad en el acceso a oportunidades (Litman, 2021)—, </w:t>
      </w:r>
      <w:r w:rsidDel="00000000" w:rsidR="00000000" w:rsidRPr="00000000">
        <w:rPr>
          <w:rFonts w:ascii="Times New Roman" w:cs="Times New Roman" w:eastAsia="Times New Roman" w:hAnsi="Times New Roman"/>
          <w:sz w:val="24"/>
          <w:szCs w:val="24"/>
          <w:highlight w:val="yellow"/>
          <w:rtl w:val="0"/>
        </w:rPr>
        <w:t xml:space="preserve">son insuficientes si no se acompañan de una planificación estratégica, mecanismos de monitoreo del desempeño y una sólida gobernanza institucional.</w:t>
      </w:r>
    </w:p>
    <w:p w:rsidR="00000000" w:rsidDel="00000000" w:rsidP="00000000" w:rsidRDefault="00000000" w:rsidRPr="00000000" w14:paraId="00000042">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profundizar en este enfoque, se adoptará una perspectiva tanto normativa como positiva sobre la intervención estatal en los mercados de transporte. Un ejemplo convincente es la regulación de los servicios de taxi, donde se ha debatido extensamente si la intervención estatal promueve la eficiencia o introduce distorsiones del mercado (ECMT, 2007). En este contexto, el ensayo examinará si el rol del Estado debería limitarse a subsidiar el servicio o si, en cambio, debería redefinirse en términos de su función en la prestación y supervisión de la movilidad urbana. Además, se analizará el caso de Londres, cuya política de transporte ha sido reconocida por combinar eficazmente los subsidios con la eficiencia operativa, la planificación urbana integrada y la regulación tarifaria (Knowles, 2012; Transport for London, 2023). Este caso es particularmente relevante debido a las similitudes urbanas que comparte con Santiago —como la alta densidad de población, la dependencia del transporte público y los problemas de congestión—, así como sus exitosos resultados en términos de calidad del servicio y sostenibilidad del sistema. Este contraste permitirá evaluar si las deficiencias del sistema chileno se deben a la falta de recursos o, más bien, a su asignación y gestión. El ensayo se estructurará de la siguiente manera: primero, se presentará una visión general del sistema de transporte público de Santiago, destacando sus principales características y desafíos actuales. Segundo, se analizarán los fundamentos económicos que justifican la intervención estatal en el transporte urbano, con énfasis en el análisis del bienestar en mercados regulados. A continuación, se desarrollará una comparación internacional con el sistema de transporte de Londres, centrándose en su modelo de subsidios y su impacto en la eficiencia operativa. Posteriormente, se evaluará si la política de subsidios en Santiago ha logrado sus objetivos y se discutirán posibles alternativas para mejorar tanto el marco institucional como la sostenibilidad financiera del sistema. Finalmente, se presentarán conclusiones y recomendaciones de política pública. La idea central que guía este análisis es clara: en lugar de gastar más, el desafío radica en gastar mejor.</w:t>
      </w:r>
      <w:r w:rsidDel="00000000" w:rsidR="00000000" w:rsidRPr="00000000">
        <w:rPr>
          <w:rtl w:val="0"/>
        </w:rPr>
      </w:r>
    </w:p>
    <w:p w:rsidR="00000000" w:rsidDel="00000000" w:rsidP="00000000" w:rsidRDefault="00000000" w:rsidRPr="00000000" w14:paraId="00000043">
      <w:pPr>
        <w:pStyle w:val="Heading2"/>
        <w:keepNext w:val="0"/>
        <w:keepLines w:val="0"/>
        <w:numPr>
          <w:ilvl w:val="0"/>
          <w:numId w:val="1"/>
        </w:numPr>
        <w:spacing w:before="280" w:line="360" w:lineRule="auto"/>
        <w:ind w:left="720" w:hanging="360"/>
        <w:jc w:val="both"/>
        <w:rPr>
          <w:rFonts w:ascii="Times New Roman" w:cs="Times New Roman" w:eastAsia="Times New Roman" w:hAnsi="Times New Roman"/>
          <w:b w:val="1"/>
          <w:bCs w:val="1"/>
          <w:sz w:val="24"/>
          <w:szCs w:val="24"/>
        </w:rPr>
      </w:pPr>
      <w:bookmarkStart w:colFirst="0" w:colLast="0" w:name="_go9foggzvmz1" w:id="6"/>
      <w:bookmarkEnd w:id="6"/>
      <w:r w:rsidDel="00000000" w:rsidR="00000000" w:rsidRPr="00000000">
        <w:rPr>
          <w:rFonts w:ascii="Times New Roman" w:cs="Times New Roman" w:eastAsia="Times New Roman" w:hAnsi="Times New Roman"/>
          <w:b w:val="1"/>
          <w:bCs w:val="1"/>
          <w:sz w:val="24"/>
          <w:szCs w:val="24"/>
          <w:rtl w:val="0"/>
        </w:rPr>
        <w:t xml:space="preserve">La Disyuntiva del Subsidio: De la Teoría Económica a la Realidad de Santiago</w:t>
      </w:r>
    </w:p>
    <w:p w:rsidR="00000000" w:rsidDel="00000000" w:rsidP="00000000" w:rsidRDefault="00000000" w:rsidRPr="00000000" w14:paraId="0000004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justificación económica de los subsidios al transporte público se arraiga en la existencia de externalidades positivas y la búsqueda de la eficiencia social, tal como lo han articulado Parry y Small (2007) y Litman (2021). Teóricamente, el transporte público genera beneficios que trascienden el mero viaje del usuario. Estos beneficios no se reflejan completamente en la tarifa pagada por el usuario, lo que lleva a una subprovisión del servicio si se dejara enteramente al mercado. Los subsidios, en este sentido, buscan internalizar estas externalidades, fomentando un mayor uso del transporte público y, por ende, acercándose a un óptimo social donde los costos marginales privados y sociales se equiparan.</w:t>
      </w:r>
    </w:p>
    <w:p w:rsidR="00000000" w:rsidDel="00000000" w:rsidP="00000000" w:rsidRDefault="00000000" w:rsidRPr="00000000" w14:paraId="0000004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lógica detrás de los subsidios es clara: corregir fallas de mercado. Al reducir el costo de viaje para el usuario, se espera que más personas opten por el transporte público en lugar del automóvil privado, lo que a su vez aliviaría la congestión y reduciría las emisiones. Parry y Small (2007) incluso derivan fórmulas para los efectos de bienestar de los ajustes tarifarios, considerando externalidades como la congestión, la contaminación y los accidentes, así como las economías de escala y el ajuste del servicio por parte de las agencias. Esto demuestra que la teoría económica provee un marco sofisticado para entender cuándo y cómo los subsidios pueden ser una herramienta eficaz para mejorar el bienestar general.</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la realidad de la aplicación de subsidios en sistemas como el de Santiago, antes Transantiago y ahora Red Metropolitana de Movilidad (RED), a menudo contrasta con esta fundamentación teórica ideal. A pesar de inversiones que superan los 700 millones de dólares anuales en subsidios (Ministerio de Transportes y Telecomunicaciones, 2022), persisten problemas estructurales como la evasión de tarifas, la congestión vial y una percepción general de baja calidad del servicio. Esto sugiere que la mera inyección de fondos, por sí sola, no garantiza los resultados esperados.</w:t>
      </w:r>
    </w:p>
    <w:p w:rsidR="00000000" w:rsidDel="00000000" w:rsidP="00000000" w:rsidRDefault="00000000" w:rsidRPr="00000000" w14:paraId="0000004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estudio relevante de Troncoso, González y Salazar (2019) sobre el transporte público suburbano de Santiago ofrece una perspectiva empírica crucial. Sus hallazgos indican que los subsidios a la oferta contribuyeron a disminuir significativamente el número de infracciones cometidas por los operadores de buses. Esto sugiere que los subsidios pueden tener un efecto positivo en el cumplimiento de normativas y, por extensión, en ciertos aspectos de la calidad del servicio. No obstante, el mismo estudio también revela que una mayor competencia entre las empresas operadoras es lo que contribuye a disminuir el número de reclamos por parte de los usuarios. Esta distinción es fundamental: mientras los subsidios pueden mitigar problemas de cumplimiento, la mejora de la calidad percibida por el usuario (medida en reclamos) parece estar más ligada a mecanismos de mercado y competencia.</w:t>
      </w:r>
    </w:p>
    <w:p w:rsidR="00000000" w:rsidDel="00000000" w:rsidP="00000000" w:rsidRDefault="00000000" w:rsidRPr="00000000" w14:paraId="0000004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plantea una dicotomía importante: si bien la teoría económica justifica los subsidios por sus efectos positivos en externalidades, la implementación práctica en Santiago sugiere que los incentivos económicos derivados de los subsidios no siempre se traducen directamente en una mejor experiencia del usuario o en una mayor demanda sostenida, especialmente si no se acompañan de otros factores. La relación entre subsidios y uso del sistema no es lineal ni automática. Si los usuarios no perciben una mejora en la frecuencia, el tiempo de viaje, el confort o la información confiable —factores que, según Rivas Tovar et al. (2007) para Londres y Madrid, son los verdaderos estimulantes del uso del transporte público—, la inyección de subsidios puede no generar el cambio de comportamiento deseado.</w:t>
      </w:r>
    </w:p>
    <w:p w:rsidR="00000000" w:rsidDel="00000000" w:rsidP="00000000" w:rsidRDefault="00000000" w:rsidRPr="00000000" w14:paraId="0000004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conclusión, mientras los fundamentos teóricos de Parry y Small y la lógica de las externalidades positivas proporcionan una base sólida para justificar los subsidios al transporte público, la realidad operativa en ciudades como Santiago subraya que estos no son una alternativa óptima. La eficiencia y la eficacia de los subsidios dependen crucialmente de cómo se articulan con una planificación estratégica, mecanismos de monitoreo del desempeño y una gobernanza institucional que asegure que los incentivos económicos no solo promuevan el cumplimiento normativo (como sugieren Troncoso et al. con la reducción de infracciones), sino que también impulsen la competencia y la mejora tangible de la calidad del servicio para el usuario final. El desafío central radica, por tanto, en cómo traducir la inversión teóricamente justificada en una mejora real y percibida, priorizando 'gastar mejor' sobre simplemente 'gastar más'.</w:t>
      </w:r>
      <w:r w:rsidDel="00000000" w:rsidR="00000000" w:rsidRPr="00000000">
        <w:rPr>
          <w:rtl w:val="0"/>
        </w:rPr>
      </w:r>
    </w:p>
    <w:p w:rsidR="00000000" w:rsidDel="00000000" w:rsidP="00000000" w:rsidRDefault="00000000" w:rsidRPr="00000000" w14:paraId="0000004A">
      <w:pPr>
        <w:pStyle w:val="Heading2"/>
        <w:numPr>
          <w:ilvl w:val="0"/>
          <w:numId w:val="1"/>
        </w:numPr>
        <w:spacing w:line="360" w:lineRule="auto"/>
        <w:ind w:left="720" w:hanging="360"/>
        <w:jc w:val="both"/>
        <w:rPr>
          <w:rFonts w:ascii="Times New Roman" w:cs="Times New Roman" w:eastAsia="Times New Roman" w:hAnsi="Times New Roman"/>
          <w:b w:val="1"/>
          <w:bCs w:val="1"/>
          <w:sz w:val="24"/>
          <w:szCs w:val="24"/>
        </w:rPr>
      </w:pPr>
      <w:bookmarkStart w:colFirst="0" w:colLast="0" w:name="_yr1o37kf6ykb" w:id="7"/>
      <w:bookmarkEnd w:id="7"/>
      <w:r w:rsidDel="00000000" w:rsidR="00000000" w:rsidRPr="00000000">
        <w:rPr>
          <w:rFonts w:ascii="Times New Roman" w:cs="Times New Roman" w:eastAsia="Times New Roman" w:hAnsi="Times New Roman"/>
          <w:b w:val="1"/>
          <w:bCs w:val="1"/>
          <w:sz w:val="24"/>
          <w:szCs w:val="24"/>
          <w:rtl w:val="0"/>
        </w:rPr>
        <w:t xml:space="preserve"> Sistema de Incentivos y Desincentivos en los Sistemas de Transporte</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efectividad de los sistemas de transporte público no se mide únicamente por la magnitud de los subsidios, sino por la implementación estratégica de incentivos y desincentivos que modelen el comportamiento de los usuarios y optimicen la eficiencia operativa. La experiencia de ciudades como Londres y Madrid, contrastada con la realidad de Ciudad de México, como se detalla en el estudio de Rivas Tovar et al. (2007), subraya la importancia de una estrategia clara y sistemática en la aplicación de políticas que fomenten el uso del transporte público y desincentiven el uso del transporte privado. Esta perspectiva es crucial para Santiago, donde la persistencia de problemas estructurales a pesar de los cuantiosos subsidios sugiere que la inversión por sí sola es insuficiente.</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Londres y Madrid, el éxito radica en una coordinación de acciones y una zonificación que no solo facilitan el acceso al transporte público, sino que también penalizan el uso del vehículo privado en zonas de alta congestión. Estas políticas demuestran que un sistema de transporte público exitoso no compite con el transporte privado en términos de "más subsidios", sino en la calidad y dotación del servicio. Factores como la frecuencia, el tiempo de viaje, el confort y la disponibilidad de información confiable son los verdaderos estimulantes del uso del transporte público, como se observa en las ciudades europeas estudiadas. Cuando estos elementos son aceptables, el transporte público se convierte en una opción atractiva, incluso sin una dependencia exclusiva de grandes subvenciones.</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ausencia de una agencia administrativa única para gestionar la totalidad del transporte público en áreas metropolitanas, como se señala en el caso de la Ciudad de México y que se refleja en Santiago, representa una debilidad estructural. La falta de coordinación en la infraestructura, la planificación del servicio y la supervisión impide la implementación coherente de políticas de incentivos y desincentivos. Londres, por el contrario, ha demostrado la eficacia de combinar subsidios con una eficiencia operativa, una planificación urbana integrada y una regulación tarifaria efectiva (Knowles, 2012; Transport for London, 2023). Este enfoque holístico, donde los subsidios se complementan con medidas que garantizan la calidad del servicio y desalientan la congestión, es lo que permite que la inversión pública se traduzca en una mejora tangible de la experiencia del usuario y en la sostenibilidad del sistema.</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definitiva, la pregunta no es si los subsidios son necesarios, sino cómo se integran en un marco más amplio de políticas que creen un sistema de incentivos y desincentivos robusto. La lección de los sistemas exitosos es que el transporte público debe ofrecer una alternativa genuinamente superior al transporte privado, no solo en términos de costo, sino de eficiencia, comodidad y fiabilidad. Sin una planificación estratégica, mecanismos de monitoreo del desempeño y una gobernanza institucional sólida que respalde estas políticas, los subsidios, por sí solos, corren el riesgo de convertirse en un gasto ineficaz, sin lograr los objetivos deseados de mejorar la movilidad urbana y el bienestar general. El desafío, por tanto, es "gastar mejor" mediante la creación de un ecosistema que estimule el uso del transporte público de forma orgánica y sostenible.</w:t>
      </w:r>
    </w:p>
    <w:p w:rsidR="00000000" w:rsidDel="00000000" w:rsidP="00000000" w:rsidRDefault="00000000" w:rsidRPr="00000000" w14:paraId="00000052">
      <w:pPr>
        <w:pStyle w:val="Heading2"/>
        <w:keepNext w:val="0"/>
        <w:keepLines w:val="0"/>
        <w:numPr>
          <w:ilvl w:val="0"/>
          <w:numId w:val="1"/>
        </w:numPr>
        <w:spacing w:before="280" w:line="360" w:lineRule="auto"/>
        <w:ind w:left="720" w:hanging="360"/>
        <w:jc w:val="both"/>
        <w:rPr>
          <w:rFonts w:ascii="Times New Roman" w:cs="Times New Roman" w:eastAsia="Times New Roman" w:hAnsi="Times New Roman"/>
          <w:b w:val="1"/>
          <w:bCs w:val="1"/>
          <w:sz w:val="24"/>
          <w:szCs w:val="24"/>
        </w:rPr>
      </w:pPr>
      <w:bookmarkStart w:colFirst="0" w:colLast="0" w:name="_zd1v0tz2hvlx" w:id="8"/>
      <w:bookmarkEnd w:id="8"/>
      <w:r w:rsidDel="00000000" w:rsidR="00000000" w:rsidRPr="00000000">
        <w:rPr>
          <w:rFonts w:ascii="Times New Roman" w:cs="Times New Roman" w:eastAsia="Times New Roman" w:hAnsi="Times New Roman"/>
          <w:b w:val="1"/>
          <w:bCs w:val="1"/>
          <w:sz w:val="24"/>
          <w:szCs w:val="24"/>
          <w:rtl w:val="0"/>
        </w:rPr>
        <w:t xml:space="preserve">Comparación Internacional - El Caso de Londres</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caso de Londres, si bien es consistentemente presentado como un modelo de éxito en la gestión del transporte público urbano, es crucial para validar y matizar nuestra hipótesis: el éxito no reside en el volumen de subsidios, sino en su gestión estratégica. La premisa de que "un mayor número de subsidios se traduce necesariamente en un mejor transporte público" es precisamente lo que el ejemplo londinense ayuda a matizar.</w:t>
      </w:r>
    </w:p>
    <w:p w:rsidR="00000000" w:rsidDel="00000000" w:rsidP="00000000" w:rsidRDefault="00000000" w:rsidRPr="00000000" w14:paraId="0000005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de transporte londinense, gestionado principalmente por Transport for London (TfL), es frecuentemente citado por su eficacia en la combinación de subsidios con una eficiencia operativa robusta, una planificación urbana integrada y una regulación tarifaria estratégica (Knowles, 2012; Transport for London, 2023). Este enfoque integral va mucho más allá de la mera asignación de fondos. A continuación detallamos algunos de los aspectos que caracterizan lo anteriormente mencionado:</w:t>
      </w:r>
    </w:p>
    <w:p w:rsidR="00000000" w:rsidDel="00000000" w:rsidP="00000000" w:rsidRDefault="00000000" w:rsidRPr="00000000" w14:paraId="00000055">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Gobernanza y Control: A diferencia de la fragmentación que a menudo se observa en sistemas como el de Santiago, TfL ejerce un control centralizado sobre la planificación, coordinación y definición de tarifas del transporte público de buses urbanos (García Bernal &amp; Roberts, 2021). Es dueño de los terminales y London Buses se encarga de la mantención de los paraderos. Esta autoridad única permite una visión y gestión coherente, crucial para la implementación de políticas de incentivos y desincentivos.</w:t>
      </w:r>
    </w:p>
    <w:p w:rsidR="00000000" w:rsidDel="00000000" w:rsidP="00000000" w:rsidRDefault="00000000" w:rsidRPr="00000000" w14:paraId="00000056">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de Concesiones: Los contratos con los operadores privados de buses tienen una duración de 5 años, con posibilidad de renovación, y la remuneración es por kilómetro operado, sujeta a bonos y multas según su desempeño (García Bernal &amp; Roberts, 2021). Este esquema incentiva directamente la eficiencia y la calidad del servicio, ya que los operadores son recompensados o penalizados en función de métricas claras de rendimiento. Cabe destacar que, si bien el sistema de transporte de Santiago posee un modelo de concesiones similar, su aplicación en la práctica ha resultado deficiente, lo que subraya la importancia crítica de la gobernanza y el monitoreo.</w:t>
      </w:r>
    </w:p>
    <w:p w:rsidR="00000000" w:rsidDel="00000000" w:rsidP="00000000" w:rsidRDefault="00000000" w:rsidRPr="00000000" w14:paraId="00000057">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Inversión en Infraestructura y Tecnología: Londres ha realizado inversiones significativas en su infraestructura y tecnología. La implementación de un sistema de tarificación de la congestión en el centro de la ciudad desde 2003 (Walker, 2003; Knowles, 2012) no solo ha reducido la congestión y la polución, sino que los ingresos generados por esta tasa han sido reinvertidos en el transporte público, mejorando el nivel de servicio. Esto no es solo un subsidio, sino una fuente de financiamiento auto-sostenible que crea un círculo virtuoso.</w:t>
      </w:r>
    </w:p>
    <w:p w:rsidR="00000000" w:rsidDel="00000000" w:rsidP="00000000" w:rsidRDefault="00000000" w:rsidRPr="00000000" w14:paraId="00000058">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del Servicio y Demanda: El éxito de Londres radica en que el transporte público se percibe como una alternativa superior al vehículo privado. La expansión de líneas de metro y ferrocarril, la implantación de tranvías y autobuses guiados, y la mejora de la seguridad para peatones y ciclistas (Knowles, 2012) son componentes de una estrategia que mejora la experiencia del usuario y, por ende, impulsa la demanda. </w:t>
      </w:r>
    </w:p>
    <w:p w:rsidR="00000000" w:rsidDel="00000000" w:rsidP="00000000" w:rsidRDefault="00000000" w:rsidRPr="00000000" w14:paraId="0000005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Londres, los subsidios no se distribuyen de forma indiscriminada. Se integran en un modelo que prioriza la eficiencia operativa y la orientación al desempeño. El hecho de que TfL sea el ente regulador que planifica las rutas, define las tarifas y remunera a los operadores en función de kilómetros operados y desempeño, significa que los subsidios están intrínsecamente ligados a la producción de un servicio de calidad. No son meras subvenciones para cubrir déficits, sino inversiones estratégicas que se espera que generen retornos en forma de reducción de externalidades negativas y aumento de la demanda (The Future Is Public Transport, 2021).</w:t>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contraste con Santiago es fundamental. La introducción ya señala que en Santiago, a pesar de los "subsidios que han superado los 700 millones de dólares anuales", no siempre se ha traducido en una "mejora proporcional de la experiencia del usuario ni en un aumento sostenido de la demanda". La diferencia clave es que en Londres, los subsidios son un componente de un sistema más amplio que incorpora fuertes desincentivos al uso del automóvil privado (como la tarifa de congestión) y claros incentivos para los operadores privados para que ofrezcan un servicio de alta calidad. La 'eficaz combinación' de Londres no es un simple reflejo del monto del subsidio; es el resultado de cómo este se engrana con una eficiencia operativa rigurosa, una planificación urbana estratégica y una gobernanza institucional robusta que supervisa y penaliza el bajo rendimiento.</w:t>
      </w:r>
    </w:p>
    <w:p w:rsidR="00000000" w:rsidDel="00000000" w:rsidP="00000000" w:rsidRDefault="00000000" w:rsidRPr="00000000" w14:paraId="0000005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si bien Londres es un ejemplo convincente de la capacidad del Estado para intervenir exitosamente en el transporte urbano, la contraargumentación es que su éxito no valida simplemente la idea de "más subsidios". Más bien, valida la tesis de que los subsidios son insuficientes si no se acompañan de un marco regulatorio, mecanismos de control de calidad y fuentes de financiamiento complementarias que garanticen una asignación y gestión eficiente de los recursos, transformando la inversión pública en una mejora real del servicio y la experiencia del usuario. La lección para Santiago no es replicar el monto de los subsidios, sino el </w:t>
      </w:r>
      <w:r w:rsidDel="00000000" w:rsidR="00000000" w:rsidRPr="00000000">
        <w:rPr>
          <w:rFonts w:ascii="Times New Roman" w:cs="Times New Roman" w:eastAsia="Times New Roman" w:hAnsi="Times New Roman"/>
          <w:i w:val="1"/>
          <w:iCs w:val="1"/>
          <w:sz w:val="24"/>
          <w:szCs w:val="24"/>
          <w:rtl w:val="0"/>
        </w:rPr>
        <w:t xml:space="preserve">diseño</w:t>
      </w:r>
      <w:r w:rsidDel="00000000" w:rsidR="00000000" w:rsidRPr="00000000">
        <w:rPr>
          <w:rFonts w:ascii="Times New Roman" w:cs="Times New Roman" w:eastAsia="Times New Roman" w:hAnsi="Times New Roman"/>
          <w:sz w:val="24"/>
          <w:szCs w:val="24"/>
          <w:rtl w:val="0"/>
        </w:rPr>
        <w:t xml:space="preserve"> de las políticas que aseguran su eficacia.</w:t>
      </w:r>
      <w:r w:rsidDel="00000000" w:rsidR="00000000" w:rsidRPr="00000000">
        <w:rPr>
          <w:rtl w:val="0"/>
        </w:rPr>
      </w:r>
    </w:p>
    <w:p w:rsidR="00000000" w:rsidDel="00000000" w:rsidP="00000000" w:rsidRDefault="00000000" w:rsidRPr="00000000" w14:paraId="0000005C">
      <w:pPr>
        <w:pStyle w:val="Heading2"/>
        <w:keepNext w:val="0"/>
        <w:keepLines w:val="0"/>
        <w:numPr>
          <w:ilvl w:val="0"/>
          <w:numId w:val="1"/>
        </w:numPr>
        <w:spacing w:after="80" w:line="360" w:lineRule="auto"/>
        <w:ind w:left="720" w:hanging="360"/>
        <w:jc w:val="both"/>
        <w:rPr>
          <w:rFonts w:ascii="Times New Roman" w:cs="Times New Roman" w:eastAsia="Times New Roman" w:hAnsi="Times New Roman"/>
          <w:b w:val="1"/>
          <w:bCs w:val="1"/>
          <w:sz w:val="24"/>
          <w:szCs w:val="24"/>
        </w:rPr>
      </w:pPr>
      <w:bookmarkStart w:colFirst="0" w:colLast="0" w:name="_r9ds74y2axhp" w:id="9"/>
      <w:bookmarkEnd w:id="9"/>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D">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la relación entre los subsidios y la calidad del transporte público en Santiago, revela una verdad ineludible: la mera inyección de recursos fiscales, por cuantiosa que sea, no se traduce automáticamente en un mejor servicio ni en una mayor satisfacción del usuario. La pregunta central que guía este estudio, '¿son los subsidios la herramienta más eficiente y eficaz para mejorar el transporte público urbano?', ha encontrado, en efecto, una respuesta matizada y compleja.</w:t>
      </w:r>
    </w:p>
    <w:p w:rsidR="00000000" w:rsidDel="00000000" w:rsidP="00000000" w:rsidRDefault="00000000" w:rsidRPr="00000000" w14:paraId="0000005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teórica, los subsidios al transporte público se justifican sólidamente por su capacidad para corregir fallas de mercado, internalizando externalidades positivas como la reducción de la congestión, la contaminación y la desigualdad de acceso a oportunidades, tal como lo plantean Parry y Small (2007) y Litman (2021). La lógica económica es clara: al subsidiar, se busca estimular el uso del transporte público hacia un óptimo social que el mercado por sí solo no alcanzaría. Sin embargo, la realidad empírica en Santiago con el sistema Transantiago/RED, donde los subsidios han superado los 700 millones de dólares anuales sin resolver problemas estructurales como la evasión y la percepción de baja calidad, desafía la suficiencia de esta justificación teórica en la práctica.</w:t>
      </w:r>
    </w:p>
    <w:p w:rsidR="00000000" w:rsidDel="00000000" w:rsidP="00000000" w:rsidRDefault="00000000" w:rsidRPr="00000000" w14:paraId="0000005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clave de esta disociación entre teoría y realidad radica en la ausencia de un sistema integral de incentivos y desincentivos y una gobernanza institucional robusta. Como lo ilustra el contraste con sistemas como el de Londres, el éxito no reside únicamente en la disponibilidad de fondos. El caso de Londres, gestionado por Transport for London (TfL), demuestra que los subsidios son un componente, sí, pero su eficacia se potencia exponencialmente cuando se integran en un modelo de gestión centralizado y con un sistema de contratos de concesión que remunera a los operadores por desempeño, sujeto a bonos y multas (García Bernal &amp; Roberts, 2021). Además, Londres ha implementado medidas de desincentivo al uso del vehículo privado, como la tarificación por congestión, cuyos ingresos se reinvierten en el sistema de transporte público, creando un círculo virtuoso de mejora de la calidad y, por ende, de la demanda (Knowles, 2012). Esto contrasta con la evidencia para Santiago, donde aunque los subsidios pueden haber reducido las infracciones de los operadores, la mejora en la satisfacción del usuario (medida por reclamos) parece estar más ligada a la competencia entre las empresas (Troncoso, González y Salazar, 2019).</w:t>
      </w:r>
    </w:p>
    <w:p w:rsidR="00000000" w:rsidDel="00000000" w:rsidP="00000000" w:rsidRDefault="00000000" w:rsidRPr="00000000" w14:paraId="0000006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última instancia, la deficiencia del sistema chileno no se debe a la falta de recursos, sino, como se ha argumentado, a su asignación y gestión ineficiente. La experiencia comparada y los desafíos persistentes en Santiago subrayan que los subsidios son una herramienta necesaria, pero no suficiente. Su verdadera eficacia se libera cuando se acompañan de una planificación estratégica de largo plazo, mecanismos rigurosos de monitoreo del desempeño, una sólida gobernanza institucional que coordine y supervise, y un diseño de políticas públicas que genere los incentivos correctos tanto para los operadores como para los usuarios.</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idea central que ha guiado este análisis es clara: en lugar de gastar más, el desafío radica en gastar mejor. Para Santiago, esto implica una redefinición del rol del Estado en la provisión de transporte urbano, yendo más allá de la mera subsidiación para convertirse en un articulador y supervisor que promueva la eficiencia operativa, la calidad del servicio y la sostenibilidad financiera. Solo así, los cuantiosos recursos públicos destinados al transporte podrán traducirse verdaderamente en una mejora sustancial de la experiencia del usuario y en un sistema de movilidad urbana que sirva eficazmente a todos los ciudadanos, sentando las bases para una transformación profunda del modelo de gestión.</w:t>
      </w:r>
    </w:p>
    <w:p w:rsidR="00000000" w:rsidDel="00000000" w:rsidP="00000000" w:rsidRDefault="00000000" w:rsidRPr="00000000" w14:paraId="00000062">
      <w:pPr>
        <w:pStyle w:val="Heading2"/>
        <w:numPr>
          <w:ilvl w:val="0"/>
          <w:numId w:val="1"/>
        </w:numPr>
        <w:spacing w:after="0" w:afterAutospacing="0" w:line="360" w:lineRule="auto"/>
        <w:ind w:left="720" w:hanging="360"/>
        <w:jc w:val="both"/>
        <w:rPr>
          <w:rFonts w:ascii="Times New Roman" w:cs="Times New Roman" w:eastAsia="Times New Roman" w:hAnsi="Times New Roman"/>
          <w:b w:val="1"/>
          <w:bCs w:val="1"/>
          <w:sz w:val="24"/>
          <w:szCs w:val="24"/>
        </w:rPr>
      </w:pPr>
      <w:bookmarkStart w:colFirst="0" w:colLast="0" w:name="_o6vueglrdnpe" w:id="10"/>
      <w:bookmarkEnd w:id="1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Biblioteca del Congreso Nacional de Chile. (s. f.). Experiencia comparada de modelos de transporte públicos de buses urbanos. </w:t>
      </w:r>
      <w:hyperlink r:id="rId6">
        <w:r w:rsidDel="00000000" w:rsidR="00000000" w:rsidRPr="00000000">
          <w:rPr>
            <w:rFonts w:ascii="Times New Roman" w:cs="Times New Roman" w:eastAsia="Times New Roman" w:hAnsi="Times New Roman"/>
            <w:color w:val="1155cc"/>
            <w:sz w:val="24"/>
            <w:szCs w:val="24"/>
            <w:u w:val="single"/>
            <w:rtl w:val="0"/>
          </w:rPr>
          <w:t xml:space="preserve">https://obtienearchivo.bcn.cl/obtienearchivo?id=repositorio/10221/32018/1/BCN___Modelo_comparado_de_transporte_de_buses_.pdf</w:t>
        </w:r>
      </w:hyperlink>
      <w:r w:rsidDel="00000000" w:rsidR="00000000" w:rsidRPr="00000000">
        <w:rPr>
          <w:rtl w:val="0"/>
        </w:rPr>
      </w:r>
    </w:p>
    <w:p w:rsidR="00000000" w:rsidDel="00000000" w:rsidP="00000000" w:rsidRDefault="00000000" w:rsidRPr="00000000" w14:paraId="00000064">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Centro de Políticas Públicas, Universidad del Desarrollo. (2021, mayo). Análisis nº 40. </w:t>
      </w:r>
      <w:hyperlink r:id="rId7">
        <w:r w:rsidDel="00000000" w:rsidR="00000000" w:rsidRPr="00000000">
          <w:rPr>
            <w:rFonts w:ascii="Times New Roman" w:cs="Times New Roman" w:eastAsia="Times New Roman" w:hAnsi="Times New Roman"/>
            <w:color w:val="1155cc"/>
            <w:sz w:val="24"/>
            <w:szCs w:val="24"/>
            <w:u w:val="single"/>
            <w:rtl w:val="0"/>
          </w:rPr>
          <w:t xml:space="preserve">https://gobierno.udd.cl/cpp/files/2021/05/An%C3%A1lisis-n%C2%BA40.pdf</w:t>
        </w:r>
      </w:hyperlink>
      <w:r w:rsidDel="00000000" w:rsidR="00000000" w:rsidRPr="00000000">
        <w:rPr>
          <w:rtl w:val="0"/>
        </w:rPr>
      </w:r>
    </w:p>
    <w:p w:rsidR="00000000" w:rsidDel="00000000" w:rsidP="00000000" w:rsidRDefault="00000000" w:rsidRPr="00000000" w14:paraId="0000006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European Conference of Ministers of Transport. (2007). (De)Regulation of the taxi industry. (ECMT Round Tables, No. 133). OECD Publishing.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https://doi.org/10.1787/9789282101155-en</w:t>
        </w:r>
      </w:hyperlink>
      <w:r w:rsidDel="00000000" w:rsidR="00000000" w:rsidRPr="00000000">
        <w:rPr>
          <w:rtl w:val="0"/>
        </w:rPr>
      </w:r>
    </w:p>
    <w:p w:rsidR="00000000" w:rsidDel="00000000" w:rsidP="00000000" w:rsidRDefault="00000000" w:rsidRPr="00000000" w14:paraId="0000006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International Transport Forum &amp; C40 Cities Climate Leadership Group. (s. f.). Making COP26 count [Informe conjunto]. </w:t>
      </w:r>
      <w:hyperlink r:id="rId9">
        <w:r w:rsidDel="00000000" w:rsidR="00000000" w:rsidRPr="00000000">
          <w:rPr>
            <w:rFonts w:ascii="Times New Roman" w:cs="Times New Roman" w:eastAsia="Times New Roman" w:hAnsi="Times New Roman"/>
            <w:color w:val="1155cc"/>
            <w:sz w:val="24"/>
            <w:szCs w:val="24"/>
            <w:u w:val="single"/>
            <w:rtl w:val="0"/>
          </w:rPr>
          <w:t xml:space="preserve">https://www.c40.org/wp-content/uploads/2021/11/ITF-C40-joint-report-Making-COP26-count-Nov-2021-ES-1.pdf</w:t>
        </w:r>
      </w:hyperlink>
      <w:r w:rsidDel="00000000" w:rsidR="00000000" w:rsidRPr="00000000">
        <w:rPr>
          <w:rtl w:val="0"/>
        </w:rPr>
      </w:r>
    </w:p>
    <w:p w:rsidR="00000000" w:rsidDel="00000000" w:rsidP="00000000" w:rsidRDefault="00000000" w:rsidRPr="00000000" w14:paraId="0000006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Litman, T. (2021). Evaluating public transit benefits and costs: Best practices guidebook. Victoria Transport Policy Institute.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https://www.youtube.com/watch?v=86XujUxXyEM</w:t>
        </w:r>
      </w:hyperlink>
      <w:r w:rsidDel="00000000" w:rsidR="00000000" w:rsidRPr="00000000">
        <w:rPr>
          <w:rtl w:val="0"/>
        </w:rPr>
      </w:r>
    </w:p>
    <w:p w:rsidR="00000000" w:rsidDel="00000000" w:rsidP="00000000" w:rsidRDefault="00000000" w:rsidRPr="00000000" w14:paraId="0000006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Ministerio de Transportes y Telecomunicaciones. (2022). Informe de evaluación de los subsidios al transporte público. </w:t>
      </w:r>
      <w:hyperlink r:id="rId11">
        <w:r w:rsidDel="00000000" w:rsidR="00000000" w:rsidRPr="00000000">
          <w:rPr>
            <w:rFonts w:ascii="Times New Roman" w:cs="Times New Roman" w:eastAsia="Times New Roman" w:hAnsi="Times New Roman"/>
            <w:color w:val="1155cc"/>
            <w:sz w:val="24"/>
            <w:szCs w:val="24"/>
            <w:u w:val="single"/>
            <w:rtl w:val="0"/>
          </w:rPr>
          <w:t xml:space="preserve">https://www.dipres.gob.cl/597/w3-multipropertyvalues-16872-34905.html</w:t>
        </w:r>
      </w:hyperlink>
      <w:r w:rsidDel="00000000" w:rsidR="00000000" w:rsidRPr="00000000">
        <w:rPr>
          <w:rtl w:val="0"/>
        </w:rPr>
      </w:r>
    </w:p>
    <w:p w:rsidR="00000000" w:rsidDel="00000000" w:rsidP="00000000" w:rsidRDefault="00000000" w:rsidRPr="00000000" w14:paraId="0000006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Parry, I., &amp; Small, K. (2007). Should urban transit subsidies be reduced? Public Economics: Taxation [SSRN Electronic Journal].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https://doi.org/10.2139/ssrn.1001430</w:t>
        </w:r>
      </w:hyperlink>
      <w:r w:rsidDel="00000000" w:rsidR="00000000" w:rsidRPr="00000000">
        <w:rPr>
          <w:rtl w:val="0"/>
        </w:rPr>
      </w:r>
    </w:p>
    <w:p w:rsidR="00000000" w:rsidDel="00000000" w:rsidP="00000000" w:rsidRDefault="00000000" w:rsidRPr="00000000" w14:paraId="0000006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Rivas Tovar, L. A., Coronel Espejel, J. A., Hernández, B. M., Chávez, A., &amp; Galicia, D. M. (s. f.). Londres, Madrid y Ciudad de México. Innovar, 17(30), [pp. XX-XX]. </w:t>
      </w:r>
      <w:hyperlink r:id="rId13">
        <w:r w:rsidDel="00000000" w:rsidR="00000000" w:rsidRPr="00000000">
          <w:rPr>
            <w:rFonts w:ascii="Times New Roman" w:cs="Times New Roman" w:eastAsia="Times New Roman" w:hAnsi="Times New Roman"/>
            <w:color w:val="1155cc"/>
            <w:sz w:val="24"/>
            <w:szCs w:val="24"/>
            <w:u w:val="single"/>
            <w:rtl w:val="0"/>
          </w:rPr>
          <w:t xml:space="preserve">http://www.scielo.org.co/pdf/inno/v17n30/v17n30a08.pdf</w:t>
        </w:r>
      </w:hyperlink>
      <w:r w:rsidDel="00000000" w:rsidR="00000000" w:rsidRPr="00000000">
        <w:rPr>
          <w:rtl w:val="0"/>
        </w:rPr>
      </w:r>
    </w:p>
    <w:p w:rsidR="00000000" w:rsidDel="00000000" w:rsidP="00000000" w:rsidRDefault="00000000" w:rsidRPr="00000000" w14:paraId="0000006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Transport for London. (2023). Annual report and statement of accounts 2022/23. </w:t>
      </w:r>
      <w:hyperlink r:id="rId14">
        <w:r w:rsidDel="00000000" w:rsidR="00000000" w:rsidRPr="00000000">
          <w:rPr>
            <w:rFonts w:ascii="Times New Roman" w:cs="Times New Roman" w:eastAsia="Times New Roman" w:hAnsi="Times New Roman"/>
            <w:color w:val="1155cc"/>
            <w:sz w:val="24"/>
            <w:szCs w:val="24"/>
            <w:u w:val="single"/>
            <w:rtl w:val="0"/>
          </w:rPr>
          <w:t xml:space="preserve">https://tfl.gov.uk/corporate/publications-and-reports/annual-report</w:t>
        </w:r>
      </w:hyperlink>
      <w:r w:rsidDel="00000000" w:rsidR="00000000" w:rsidRPr="00000000">
        <w:rPr>
          <w:rtl w:val="0"/>
        </w:rPr>
      </w:r>
    </w:p>
    <w:p w:rsidR="00000000" w:rsidDel="00000000" w:rsidP="00000000" w:rsidRDefault="00000000" w:rsidRPr="00000000" w14:paraId="0000006C">
      <w:pPr>
        <w:numPr>
          <w:ilvl w:val="0"/>
          <w:numId w:val="3"/>
        </w:numPr>
        <w:pBdr>
          <w:top w:color="auto" w:space="0" w:sz="0" w:val="none"/>
          <w:bottom w:color="auto" w:space="0" w:sz="0" w:val="none"/>
          <w:right w:color="auto" w:space="0" w:sz="0" w:val="none"/>
          <w:between w:color="auto" w:space="0" w:sz="0" w:val="none"/>
        </w:pBdr>
        <w:spacing w:after="360" w:lineRule="auto"/>
        <w:ind w:left="720" w:hanging="360"/>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Universitat Politècnica de Catalunya. (s. f.). [Título del documento específico del PDF]. </w:t>
      </w:r>
      <w:hyperlink r:id="rId15">
        <w:r w:rsidDel="00000000" w:rsidR="00000000" w:rsidRPr="00000000">
          <w:rPr>
            <w:rFonts w:ascii="Times New Roman" w:cs="Times New Roman" w:eastAsia="Times New Roman" w:hAnsi="Times New Roman"/>
            <w:color w:val="1155cc"/>
            <w:sz w:val="24"/>
            <w:szCs w:val="24"/>
            <w:u w:val="single"/>
            <w:rtl w:val="0"/>
          </w:rPr>
          <w:t xml:space="preserve">https://upcommons.upc.edu/bitstream/handle/2099.1/3390/40877-7.pdf</w:t>
        </w:r>
      </w:hyperlink>
      <w:r w:rsidDel="00000000" w:rsidR="00000000" w:rsidRPr="00000000">
        <w:rPr>
          <w:rtl w:val="0"/>
        </w:rPr>
      </w:r>
    </w:p>
    <w:p w:rsidR="00000000" w:rsidDel="00000000" w:rsidP="00000000" w:rsidRDefault="00000000" w:rsidRPr="00000000" w14:paraId="0000006D">
      <w:pPr>
        <w:pBdr>
          <w:top w:color="auto" w:space="0" w:sz="0" w:val="none"/>
          <w:bottom w:color="auto" w:space="0" w:sz="0" w:val="none"/>
          <w:right w:color="auto" w:space="0" w:sz="0" w:val="none"/>
          <w:between w:color="auto" w:space="0" w:sz="0" w:val="none"/>
        </w:pBdr>
        <w:spacing w:after="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pStyle w:val="Heading2"/>
        <w:numPr>
          <w:ilvl w:val="0"/>
          <w:numId w:val="1"/>
        </w:numPr>
        <w:spacing w:line="360" w:lineRule="auto"/>
        <w:ind w:left="720" w:hanging="360"/>
        <w:jc w:val="both"/>
        <w:rPr>
          <w:rFonts w:ascii="Times New Roman" w:cs="Times New Roman" w:eastAsia="Times New Roman" w:hAnsi="Times New Roman"/>
          <w:b w:val="1"/>
          <w:bCs w:val="1"/>
          <w:sz w:val="24"/>
          <w:szCs w:val="24"/>
        </w:rPr>
      </w:pPr>
      <w:bookmarkStart w:colFirst="0" w:colLast="0" w:name="_vid347rd1dqf" w:id="11"/>
      <w:bookmarkEnd w:id="11"/>
      <w:r w:rsidDel="00000000" w:rsidR="00000000" w:rsidRPr="00000000">
        <w:rPr>
          <w:rFonts w:ascii="Times New Roman" w:cs="Times New Roman" w:eastAsia="Times New Roman" w:hAnsi="Times New Roman"/>
          <w:b w:val="1"/>
          <w:bCs w:val="1"/>
          <w:sz w:val="24"/>
          <w:szCs w:val="24"/>
          <w:rtl w:val="0"/>
        </w:rPr>
        <w:t xml:space="preserve">Appendix</w:t>
      </w:r>
      <w:r w:rsidDel="00000000" w:rsidR="00000000" w:rsidRPr="00000000">
        <w:rPr>
          <w:rtl w:val="0"/>
        </w:rPr>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essay, the use of artificial intelligence (AI) tools is acknowledged as a support resource. Access to the AI conversation (</w:t>
      </w:r>
      <w:hyperlink r:id="rId16">
        <w:r w:rsidDel="00000000" w:rsidR="00000000" w:rsidRPr="00000000">
          <w:rPr>
            <w:rFonts w:ascii="Times New Roman" w:cs="Times New Roman" w:eastAsia="Times New Roman" w:hAnsi="Times New Roman"/>
            <w:color w:val="1155cc"/>
            <w:sz w:val="24"/>
            <w:szCs w:val="24"/>
            <w:u w:val="single"/>
            <w:rtl w:val="0"/>
          </w:rPr>
          <w:t xml:space="preserve">Access to artificial intelligence support resource</w:t>
        </w:r>
      </w:hyperlink>
      <w:r w:rsidDel="00000000" w:rsidR="00000000" w:rsidRPr="00000000">
        <w:rPr>
          <w:rFonts w:ascii="Times New Roman" w:cs="Times New Roman" w:eastAsia="Times New Roman" w:hAnsi="Times New Roman"/>
          <w:sz w:val="24"/>
          <w:szCs w:val="24"/>
          <w:rtl w:val="0"/>
        </w:rPr>
        <w:t xml:space="preserve">) is provided, explicitly indicating that the fragments generated by this tool correspond to paragraphs from the same essay. </w:t>
      </w:r>
    </w:p>
    <w:p w:rsidR="00000000" w:rsidDel="00000000" w:rsidP="00000000" w:rsidRDefault="00000000" w:rsidRPr="00000000" w14:paraId="00000070">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Revisa este ensayo y ofréceme sugerencias detalladas para mejorar su claridad, fluidez y la fuerza de sus argumentos. La estructura ya es sólida, la tesis clara y bien fundamentada con bibliografía y un caso de estudio. Organiza tus sugerencias por sección.</w:t>
      </w:r>
    </w:p>
    <w:p w:rsidR="00000000" w:rsidDel="00000000" w:rsidP="00000000" w:rsidRDefault="00000000" w:rsidRPr="00000000" w14:paraId="00000072">
      <w:pPr>
        <w:numPr>
          <w:ilvl w:val="0"/>
          <w:numId w:val="2"/>
        </w:numPr>
        <w:spacing w:lin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Revisa los siguientes párrafos y enfócate en mejorar la claridad y la conexión de ideas entre ellos. Necesito modificaciones para:</w:t>
      </w:r>
    </w:p>
    <w:p w:rsidR="00000000" w:rsidDel="00000000" w:rsidP="00000000" w:rsidRDefault="00000000" w:rsidRPr="00000000" w14:paraId="00000073">
      <w:pPr>
        <w:spacing w:line="24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Asegurar que cada párrafo tenga una idea principal clara y que esta se desarrolle de manera lógica.</w:t>
      </w:r>
    </w:p>
    <w:p w:rsidR="00000000" w:rsidDel="00000000" w:rsidP="00000000" w:rsidRDefault="00000000" w:rsidRPr="00000000" w14:paraId="00000075">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Optimizar las transiciones entre párrafos para que la lectura sea fluida y las ideas se enlazan de forma coherente.</w:t>
      </w:r>
    </w:p>
    <w:p w:rsidR="00000000" w:rsidDel="00000000" w:rsidP="00000000" w:rsidRDefault="00000000" w:rsidRPr="00000000" w14:paraId="00000076">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Eliminar cualquier ambigüedad o información que pueda dificultar la comprensión del lector.</w:t>
      </w:r>
    </w:p>
    <w:p w:rsidR="00000000" w:rsidDel="00000000" w:rsidP="00000000" w:rsidRDefault="00000000" w:rsidRPr="00000000" w14:paraId="00000077">
      <w:pPr>
        <w:numPr>
          <w:ilvl w:val="1"/>
          <w:numId w:val="2"/>
        </w:numPr>
        <w:spacing w:line="24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Identificar si hay ideas que no se relacionan bien con el resto del párrafo o con el tema general.”</w:t>
      </w:r>
    </w:p>
    <w:p w:rsidR="00000000" w:rsidDel="00000000" w:rsidP="00000000" w:rsidRDefault="00000000" w:rsidRPr="00000000" w14:paraId="00000078">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 las citas en el siguiente texto y dame sugerencias para mejorar su efectividad y formato.</w:t>
      </w:r>
    </w:p>
    <w:p w:rsidR="00000000" w:rsidDel="00000000" w:rsidP="00000000" w:rsidRDefault="00000000" w:rsidRPr="00000000" w14:paraId="00000079">
      <w:pPr>
        <w:numPr>
          <w:ilvl w:val="0"/>
          <w:numId w:val="2"/>
        </w:num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favor, traduce los siguientes párrafos a Inglés. Asegúrate de que la traducción sea precisa, fluida y que mantenga el tono y el significado original del texto. Presta especial atención a la cohesión de las ideas entre las oraciones y los párrafos.</w:t>
      </w:r>
      <w:r w:rsidDel="00000000" w:rsidR="00000000" w:rsidRPr="00000000">
        <w:rPr>
          <w:rtl w:val="0"/>
        </w:rPr>
      </w:r>
    </w:p>
    <w:sectPr>
      <w:headerReference r:id="rId17" w:type="default"/>
      <w:headerReference r:id="rId18" w:type="first"/>
      <w:footerReference r:id="rId19" w:type="default"/>
      <w:footerReference r:id="rId20" w:type="first"/>
      <w:pgSz w:h="16834" w:w="11909" w:orient="portrait"/>
      <w:pgMar w:bottom="1440" w:top="1440" w:left="1440" w:right="1440" w:header="720.0000000000001" w:footer="720.00000000000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-409574</wp:posOffset>
          </wp:positionH>
          <wp:positionV relativeFrom="paragraph">
            <wp:posOffset>95250</wp:posOffset>
          </wp:positionV>
          <wp:extent cx="928688" cy="1274475"/>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928688" cy="12744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www.dipres.gob.cl/597/w3-multipropertyvalues-16872-34905.html" TargetMode="External"/><Relationship Id="rId10" Type="http://schemas.openxmlformats.org/officeDocument/2006/relationships/hyperlink" Target="https://www.youtube.com/watch?v=86XujUxXyEM" TargetMode="External"/><Relationship Id="rId13" Type="http://schemas.openxmlformats.org/officeDocument/2006/relationships/hyperlink" Target="http://www.scielo.org.co/pdf/inno/v17n30/v17n30a08.pdf" TargetMode="External"/><Relationship Id="rId12" Type="http://schemas.openxmlformats.org/officeDocument/2006/relationships/hyperlink" Target="https://doi.org/10.2139/ssrn.100143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40.org/wp-content/uploads/2021/11/ITF-C40-joint-report-Making-COP26-count-Nov-2021-ES-1.pdf" TargetMode="External"/><Relationship Id="rId15" Type="http://schemas.openxmlformats.org/officeDocument/2006/relationships/hyperlink" Target="https://upcommons.upc.edu/bitstream/handle/2099.1/3390/40877-7.pdf" TargetMode="External"/><Relationship Id="rId14" Type="http://schemas.openxmlformats.org/officeDocument/2006/relationships/hyperlink" Target="https://tfl.gov.uk/corporate/publications-and-reports/annual-report" TargetMode="External"/><Relationship Id="rId17" Type="http://schemas.openxmlformats.org/officeDocument/2006/relationships/header" Target="header1.xml"/><Relationship Id="rId16" Type="http://schemas.openxmlformats.org/officeDocument/2006/relationships/hyperlink" Target="https://g.co/gemini/share/bf9978dd326c"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obtienearchivo.bcn.cl/obtienearchivo?id=repositorio/10221/32018/1/BCN___Modelo_comparado_de_transporte_de_buses_.pdf" TargetMode="External"/><Relationship Id="rId18" Type="http://schemas.openxmlformats.org/officeDocument/2006/relationships/header" Target="header2.xml"/><Relationship Id="rId7" Type="http://schemas.openxmlformats.org/officeDocument/2006/relationships/hyperlink" Target="https://gobierno.udd.cl/cpp/files/2021/05/An%C3%A1lisis-n%C2%BA40.pdf" TargetMode="External"/><Relationship Id="rId8" Type="http://schemas.openxmlformats.org/officeDocument/2006/relationships/hyperlink" Target="https://doi.org/10.1787/9789282101155-e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