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03">
      <w:pPr>
        <w:spacing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ICS2523- Microeconomics</w:t>
      </w:r>
    </w:p>
    <w:p w:rsidR="00000000" w:rsidDel="00000000" w:rsidP="00000000" w:rsidRDefault="00000000" w:rsidRPr="00000000" w14:paraId="0000000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1"/>
        <w:spacing w:line="360" w:lineRule="auto"/>
        <w:jc w:val="left"/>
        <w:rPr>
          <w:rFonts w:ascii="Times New Roman" w:cs="Times New Roman" w:eastAsia="Times New Roman" w:hAnsi="Times New Roman"/>
        </w:rPr>
      </w:pPr>
      <w:bookmarkStart w:colFirst="0" w:colLast="0" w:name="_grrxf0l6ba7h" w:id="0"/>
      <w:bookmarkEnd w:id="0"/>
      <w:r w:rsidDel="00000000" w:rsidR="00000000" w:rsidRPr="00000000">
        <w:rPr>
          <w:rtl w:val="0"/>
        </w:rPr>
      </w:r>
    </w:p>
    <w:p w:rsidR="00000000" w:rsidDel="00000000" w:rsidP="00000000" w:rsidRDefault="00000000" w:rsidRPr="00000000" w14:paraId="0000000F">
      <w:pPr>
        <w:pStyle w:val="Title"/>
        <w:spacing w:line="360" w:lineRule="auto"/>
        <w:jc w:val="center"/>
        <w:rPr>
          <w:rFonts w:ascii="Times New Roman" w:cs="Times New Roman" w:eastAsia="Times New Roman" w:hAnsi="Times New Roman"/>
          <w:sz w:val="48"/>
          <w:szCs w:val="48"/>
        </w:rPr>
      </w:pPr>
      <w:bookmarkStart w:colFirst="0" w:colLast="0" w:name="_nxzk7rdymvwj" w:id="1"/>
      <w:bookmarkEnd w:id="1"/>
      <w:r w:rsidDel="00000000" w:rsidR="00000000" w:rsidRPr="00000000">
        <w:rPr>
          <w:rFonts w:ascii="Times New Roman" w:cs="Times New Roman" w:eastAsia="Times New Roman" w:hAnsi="Times New Roman"/>
          <w:sz w:val="48"/>
          <w:szCs w:val="48"/>
          <w:rtl w:val="0"/>
        </w:rPr>
        <w:t xml:space="preserve">Public Transport Subsidies: Strategic Investment or Insufficient Spending? </w:t>
      </w:r>
    </w:p>
    <w:p w:rsidR="00000000" w:rsidDel="00000000" w:rsidP="00000000" w:rsidRDefault="00000000" w:rsidRPr="00000000" w14:paraId="00000010">
      <w:pPr>
        <w:pStyle w:val="Subtitle"/>
        <w:spacing w:line="360" w:lineRule="auto"/>
        <w:jc w:val="center"/>
        <w:rPr>
          <w:rFonts w:ascii="Times New Roman" w:cs="Times New Roman" w:eastAsia="Times New Roman" w:hAnsi="Times New Roman"/>
          <w:sz w:val="24"/>
          <w:szCs w:val="24"/>
        </w:rPr>
      </w:pPr>
      <w:bookmarkStart w:colFirst="0" w:colLast="0" w:name="_61cttex54wb9" w:id="2"/>
      <w:bookmarkEnd w:id="2"/>
      <w:r w:rsidDel="00000000" w:rsidR="00000000" w:rsidRPr="00000000">
        <w:rPr>
          <w:rFonts w:ascii="Times New Roman" w:cs="Times New Roman" w:eastAsia="Times New Roman" w:hAnsi="Times New Roman"/>
          <w:sz w:val="24"/>
          <w:szCs w:val="24"/>
          <w:rtl w:val="0"/>
        </w:rPr>
        <w:t xml:space="preserve">Lessons from London for the Future Reform of Transantiago/RED</w:t>
      </w:r>
    </w:p>
    <w:p w:rsidR="00000000" w:rsidDel="00000000" w:rsidP="00000000" w:rsidRDefault="00000000" w:rsidRPr="00000000" w14:paraId="00000011">
      <w:pPr>
        <w:pStyle w:val="Heading1"/>
        <w:spacing w:line="360" w:lineRule="auto"/>
        <w:jc w:val="left"/>
        <w:rPr>
          <w:rFonts w:ascii="Times New Roman" w:cs="Times New Roman" w:eastAsia="Times New Roman" w:hAnsi="Times New Roman"/>
          <w:sz w:val="24"/>
          <w:szCs w:val="24"/>
        </w:rPr>
      </w:pPr>
      <w:bookmarkStart w:colFirst="0" w:colLast="0" w:name="_byumbrhvp9xy" w:id="3"/>
      <w:bookmarkEnd w:id="3"/>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Fonts w:ascii="Times New Roman" w:cs="Times New Roman" w:eastAsia="Times New Roman" w:hAnsi="Times New Roman"/>
          <w:sz w:val="24"/>
          <w:szCs w:val="24"/>
          <w:rtl w:val="0"/>
        </w:rPr>
        <w:t xml:space="preserve">Franco Nicolai Corvalán Mansourova –  student number: </w:t>
      </w:r>
      <w:r w:rsidDel="00000000" w:rsidR="00000000" w:rsidRPr="00000000">
        <w:rPr>
          <w:rtl w:val="0"/>
        </w:rPr>
        <w:t xml:space="preserve"> 23200022</w:t>
      </w:r>
    </w:p>
    <w:p w:rsidR="00000000" w:rsidDel="00000000" w:rsidP="00000000" w:rsidRDefault="00000000" w:rsidRPr="00000000" w14:paraId="0000001D">
      <w:pPr>
        <w:pStyle w:val="Heading2"/>
        <w:numPr>
          <w:ilvl w:val="0"/>
          <w:numId w:val="1"/>
        </w:numPr>
        <w:spacing w:line="360" w:lineRule="auto"/>
        <w:ind w:left="720" w:hanging="360"/>
        <w:rPr>
          <w:rFonts w:ascii="Times New Roman" w:cs="Times New Roman" w:eastAsia="Times New Roman" w:hAnsi="Times New Roman"/>
          <w:b w:val="1"/>
          <w:bCs w:val="1"/>
          <w:sz w:val="24"/>
          <w:szCs w:val="24"/>
          <w:u w:val="none"/>
        </w:rPr>
      </w:pPr>
      <w:bookmarkStart w:colFirst="0" w:colLast="0" w:name="_g4c0cbkco9gz" w:id="4"/>
      <w:bookmarkEnd w:id="4"/>
      <w:r w:rsidDel="00000000" w:rsidR="00000000" w:rsidRPr="00000000">
        <w:rPr>
          <w:rFonts w:ascii="Times New Roman" w:cs="Times New Roman" w:eastAsia="Times New Roman" w:hAnsi="Times New Roman"/>
          <w:b w:val="1"/>
          <w:bCs w:val="1"/>
          <w:sz w:val="24"/>
          <w:szCs w:val="24"/>
          <w:rtl w:val="0"/>
        </w:rPr>
        <w:t xml:space="preserve"> Índex:</w:t>
      </w:r>
    </w:p>
    <w:sdt>
      <w:sdtPr>
        <w:id w:val="1121419559"/>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2,2,Heading 3,3,Heading 4,4,Heading 5,5,Heading 6,6,"</w:instrText>
            <w:fldChar w:fldCharType="separate"/>
          </w:r>
          <w:hyperlink w:anchor="_g4c0cbkco9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Índex:</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1lrcowm8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Introduction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nmwdbipg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The Subsidy Dilemma: From Economic Theory to Santiago's Reality</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l3z7nag9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System of Incentives and Disincentives in Transport Systems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jjl6drll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International Comparison - The Case of London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ds74y2ax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Conclusion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vueglrdn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References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d347rd1d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Appendix</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pStyle w:val="Heading2"/>
        <w:keepNext w:val="0"/>
        <w:keepLines w:val="0"/>
        <w:numPr>
          <w:ilvl w:val="0"/>
          <w:numId w:val="1"/>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i51lrcowm8fw" w:id="5"/>
      <w:bookmarkEnd w:id="5"/>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vibrant discussion surrounding urban mobility in Santiago, a question resonates with particular force: does a greater number of subsidies necessarily translate into better public transport? This question has become central to urban mobility debates in Santiago, particularly given the sustained increase in government subsidies allocated to the public transport system and the persistence of structural problems such as fare evasion, traffic congestion, and a perception of low service quality. Since its implementation in 2007, the Transantiago system—now known as the Metropolitan Mobility Network (RED)—has been under intense technical and public scrutiny, primarily due to its high fiscal cost: in some years, subsidies have exceeded 700 million dollars annually (Ministerio de Transportes y Telecomunicaciones, 2022). However, this significant public investment has not always resulted in a proportional improvement in user experience or a sustained increase in demand. In this context, a crucial question arises. Our central hypothesis is that, while subsidies can justify their role in public transport, their efficiency and effectiveness depend on integration with strategic planning, performance monitoring, and robust institutional governance, extending beyond the mere injection of funds.</w:t>
      </w:r>
    </w:p>
    <w:p w:rsidR="00000000" w:rsidDel="00000000" w:rsidP="00000000" w:rsidRDefault="00000000" w:rsidRPr="00000000" w14:paraId="00000041">
      <w:pPr>
        <w:spacing w:after="240" w:before="240" w:line="360" w:lineRule="auto"/>
        <w:ind w:lef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This analysis is particularly relevant because it allows us to move beyond the simplistic dichotomy of "more or less subsidies" and delve deeper into the design of truly effective and sustainable long-term public policies. Through a review of economic literature—such as the work by Parry and Small (2007), which examines the social benefits of public transport and the effects of extensive subsidies on general welfare—as well as local and comparative studies, this essay seeks to contribute to a more informed and nuanced debate on the role of the State in urban transport provision. Specifically, it argues that, while subsidies can be justified by the positive externalities generated by public transport—such as reduced congestion, pollution, and inequality in access to opportunities (Litman, 2021)—, they are insufficient if not accompanied by strategic planning, performance monitoring mechanisms, and robust institutional governance.</w:t>
      </w:r>
      <w:r w:rsidDel="00000000" w:rsidR="00000000" w:rsidRPr="00000000">
        <w:rPr>
          <w:rtl w:val="0"/>
        </w:rPr>
      </w:r>
    </w:p>
    <w:p w:rsidR="00000000" w:rsidDel="00000000" w:rsidP="00000000" w:rsidRDefault="00000000" w:rsidRPr="00000000" w14:paraId="0000004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delve deeper into this approach, a positive perspective on state intervention in transport markets will be adopted. In this context, the essay will examine whether the State's role should be limited to subsidizing the service or if, instead, it should be redefined in terms of its function in the provision and oversight of urban mobility. Furthermore, the case of London will be analyzed; its transport policy has been recognized for effectively combining subsidies with operational efficiency, integrated urban planning, and tariff regulation (Knowles, 2012; Transport for London, 2023). This case is particularly relevant due to the urban similarities it shares with Santiago—such as high population density, reliance on public transport, and congestion problems—as well as its successful outcomes in terms of service quality and system sustainability. This contrast will allow for an evaluation of whether the deficiencies of the Chilean system are due to a lack of resources or, rather, to their allocation and management.</w:t>
      </w:r>
      <w:r w:rsidDel="00000000" w:rsidR="00000000" w:rsidRPr="00000000">
        <w:rPr>
          <w:rtl w:val="0"/>
        </w:rPr>
      </w:r>
    </w:p>
    <w:p w:rsidR="00000000" w:rsidDel="00000000" w:rsidP="00000000" w:rsidRDefault="00000000" w:rsidRPr="00000000" w14:paraId="00000043">
      <w:pPr>
        <w:pStyle w:val="Heading2"/>
        <w:keepNext w:val="0"/>
        <w:keepLines w:val="0"/>
        <w:numPr>
          <w:ilvl w:val="0"/>
          <w:numId w:val="1"/>
        </w:numPr>
        <w:spacing w:before="280" w:line="360" w:lineRule="auto"/>
        <w:ind w:left="720" w:hanging="360"/>
        <w:jc w:val="both"/>
        <w:rPr>
          <w:rFonts w:ascii="Times New Roman" w:cs="Times New Roman" w:eastAsia="Times New Roman" w:hAnsi="Times New Roman"/>
          <w:b w:val="1"/>
          <w:bCs w:val="1"/>
          <w:sz w:val="24"/>
          <w:szCs w:val="24"/>
        </w:rPr>
      </w:pPr>
      <w:bookmarkStart w:colFirst="0" w:colLast="0" w:name="_1onmwdbipg70" w:id="6"/>
      <w:bookmarkEnd w:id="6"/>
      <w:r w:rsidDel="00000000" w:rsidR="00000000" w:rsidRPr="00000000">
        <w:rPr>
          <w:rFonts w:ascii="Times New Roman" w:cs="Times New Roman" w:eastAsia="Times New Roman" w:hAnsi="Times New Roman"/>
          <w:b w:val="1"/>
          <w:bCs w:val="1"/>
          <w:sz w:val="24"/>
          <w:szCs w:val="24"/>
          <w:rtl w:val="0"/>
        </w:rPr>
        <w:t xml:space="preserve">The Subsidy Dilemma: From Economic Theory to Santiago's Reality</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justification for public transport subsidies is rooted in the existence of positive externalities and the pursuit of social efficiency, as articulated by Parry and Small (2007) and Litman (2021). Theoretically, public transport generates benefits that transcend the user's mere journey. These benefits are not fully reflected in the fare paid by the user, leading to an undersupply of the service if it were left entirely to the market. Subsidies, in this sense, seek to internalize these externalities, encouraging greater use of public transport and, consequently, moving closer to a social optimum where private and social marginal costs are equalized.</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 behind subsidies is clear: to correct market failures. By reducing the travel cost for users, it is expected that more people will opt for public transport instead of private cars, which in turn would alleviate congestion and reduce emissions. Parry and Small (2007) even derive formulas for the welfare effects of fare adjustments, considering externalities such as congestion, pollution, and accidents, as well as economies of scale and service adjustments by agencies. This demonstrates that economic theory provides a sophisticated framework for understanding when and how subsidies can be an effective tool to improve overall welfare.</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reality of subsidy application in systems like Santiago's—formerly Transantiago and now the Metropolitan Mobility Network (RED)—often contrasts with this ideal theoretical foundation. Despite investments exceeding 700 million dollars annually in subsidies (Ministerio de Transportes y Telecomunicaciones, 2022), structural problems such as fare evasion, traffic congestion, and a general perception of low service quality persist. This suggests that the mere injection of funds, by itself, does not guarantee the expected results.</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relevant study by Troncoso, González, and Salazar (2019) on suburban public transport in Santiago offers a crucial empirical perspective. Their findings indicate that supply-side subsidies significantly contributed to reducing the number of infractions committed by bus operators. This suggests that subsidies can have a positive effect on regulatory compliance and, by extension, on certain aspects of service quality. However, the same study also reveals that greater competition among operating companies is what contributes to decreasing the number of user complaints. This distinction is fundamental: while subsidies can mitigate compliance issues, the improvement in perceived user quality (measured by complaints) appears to be more closely linked to market mechanisms and competition.</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poses an important dichotomy: while economic theory justifies subsidies for their positive effects on externalities, practical implementation in Santiago suggests that the economic incentives derived from subsidies do not always directly translate into a better user experience or sustained higher demand, especially if not accompanied by other factors. The relationship between subsidies and system usage is neither linear nor automatic. If users do not perceive an improvement in frequency, travel time, comfort, or reliable information—factors that, according to Rivas Tovar et al. (2007) for London and Madrid, are the true stimulants of public transport use—the injection of subsidies may not generate the desired behavioral change.</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while the theoretical foundations of Parry and Small and the logic of positive externalities provide a solid basis for justifying public transport subsidies, the operational reality in cities like Santiago underscores that these are not an optimal standalone alternative. The efficiency and effectiveness of subsidies crucially depend on how they are articulated with strategic planning, performance monitoring mechanisms, and institutional governance that ensures economic incentives not only promote regulatory compliance (as Troncoso et al. suggest with the reduction of infractions) but also drive competition and tangible improvement in service quality for the end-user. The central challenge, therefore, lies in how to translate theoretically justified investment into real and perceived improvement, prioritizing 'spending better' over simply 'spending more.'</w:t>
      </w:r>
      <w:r w:rsidDel="00000000" w:rsidR="00000000" w:rsidRPr="00000000">
        <w:rPr>
          <w:rtl w:val="0"/>
        </w:rPr>
      </w:r>
    </w:p>
    <w:p w:rsidR="00000000" w:rsidDel="00000000" w:rsidP="00000000" w:rsidRDefault="00000000" w:rsidRPr="00000000" w14:paraId="0000004A">
      <w:pPr>
        <w:pStyle w:val="Heading2"/>
        <w:numPr>
          <w:ilvl w:val="0"/>
          <w:numId w:val="1"/>
        </w:numPr>
        <w:spacing w:line="360" w:lineRule="auto"/>
        <w:ind w:left="720" w:hanging="360"/>
        <w:jc w:val="both"/>
        <w:rPr>
          <w:rFonts w:ascii="Times New Roman" w:cs="Times New Roman" w:eastAsia="Times New Roman" w:hAnsi="Times New Roman"/>
          <w:b w:val="1"/>
          <w:bCs w:val="1"/>
          <w:sz w:val="24"/>
          <w:szCs w:val="24"/>
        </w:rPr>
      </w:pPr>
      <w:bookmarkStart w:colFirst="0" w:colLast="0" w:name="_ill3z7nag93t" w:id="7"/>
      <w:bookmarkEnd w:id="7"/>
      <w:r w:rsidDel="00000000" w:rsidR="00000000" w:rsidRPr="00000000">
        <w:rPr>
          <w:rFonts w:ascii="Times New Roman" w:cs="Times New Roman" w:eastAsia="Times New Roman" w:hAnsi="Times New Roman"/>
          <w:b w:val="1"/>
          <w:bCs w:val="1"/>
          <w:sz w:val="24"/>
          <w:szCs w:val="24"/>
          <w:rtl w:val="0"/>
        </w:rPr>
        <w:t xml:space="preserve">System of Incentives and Disincentives in Transport Systems</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public transport systems is not measured solely by the magnitude of subsidies, but by the strategic implementation of incentives and disincentives that shape user behavior and optimize operational efficiency. The experience of cities like London and Madrid, contrasted with the reality of Mexico City, as detailed in the study by Rivas Tovar et al. (2007), underscores the importance of a clear and systematic strategy in applying policies that encourage public transport use and discourage private vehicle use. This perspective is crucial for Santiago, where the persistence of structural problems despite substantial subsidies suggests that investment alone is insufficient.</w:t>
      </w: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London and Madrid, success lies in a coordination of actions and a zoning strategy that not only facilitate access to public transport but also penalize the use of private vehicles in highly congested areas. These policies demonstrate that a successful public transport system does not compete with private transport in terms of "more subsidies," but rather in the quality and provision of service. Factors such as frequency, travel time, comfort, and the availability of reliable information are the true stimulants of public transport use, as observed in the European cities studied. When these elements are acceptable, public transport becomes an attractive option, even without exclusive reliance on large subsidies.</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 single administrative agency to manage the entirety of public transport in metropolitan areas, as noted in the case of Mexico City and reflected in Santiago, represents a structural weakness. The lack of coordination in infrastructure, service planning, and oversight hinders the coherent implementation of incentive and disincentive policies. London, in contrast, has demonstrated the effectiveness of combining subsidies with operational efficiency, integrated urban planning, and effective fare regulation (Knowles, 2012; Transport for London, 2023). This holistic approach, where subsidies are complemented by measures that guarantee service quality and discourage congestion, is what allows public investment to translate into a tangible improvement in user experience and the sustainability of the system.</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question is not whether subsidies are necessary, but how they are integrated into a broader policy framework that creates a robust system of incentives and disincentives. The lesson from successful systems is that public transport must offer a genuinely superior alternative to private transport, not only in terms of cost but also efficiency, comfort, and reliability. Without strategic planning, performance monitoring mechanisms, and solid institutional governance to support these policies, subsidies, by themselves, risk becoming an ineffective expenditure, failing to achieve the desired goals of improving urban mobility and general welfare. The challenge, therefore, is to "spend better" by creating an ecosystem that organically and sustainably stimulates the use of public transport.</w:t>
      </w:r>
    </w:p>
    <w:p w:rsidR="00000000" w:rsidDel="00000000" w:rsidP="00000000" w:rsidRDefault="00000000" w:rsidRPr="00000000" w14:paraId="00000052">
      <w:pPr>
        <w:pStyle w:val="Heading2"/>
        <w:keepNext w:val="0"/>
        <w:keepLines w:val="0"/>
        <w:numPr>
          <w:ilvl w:val="0"/>
          <w:numId w:val="1"/>
        </w:numPr>
        <w:spacing w:before="280" w:line="360" w:lineRule="auto"/>
        <w:ind w:left="720" w:hanging="360"/>
        <w:jc w:val="both"/>
        <w:rPr>
          <w:rFonts w:ascii="Times New Roman" w:cs="Times New Roman" w:eastAsia="Times New Roman" w:hAnsi="Times New Roman"/>
          <w:b w:val="1"/>
          <w:bCs w:val="1"/>
          <w:sz w:val="24"/>
          <w:szCs w:val="24"/>
        </w:rPr>
      </w:pPr>
      <w:bookmarkStart w:colFirst="0" w:colLast="0" w:name="_xwjjl6drllf6" w:id="8"/>
      <w:bookmarkEnd w:id="8"/>
      <w:r w:rsidDel="00000000" w:rsidR="00000000" w:rsidRPr="00000000">
        <w:rPr>
          <w:rFonts w:ascii="Times New Roman" w:cs="Times New Roman" w:eastAsia="Times New Roman" w:hAnsi="Times New Roman"/>
          <w:b w:val="1"/>
          <w:bCs w:val="1"/>
          <w:sz w:val="24"/>
          <w:szCs w:val="24"/>
          <w:rtl w:val="0"/>
        </w:rPr>
        <w:t xml:space="preserve">International Comparison - The Case of London</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of London, while consistently presented as a model of success in urban public transport management, is crucial for validating and nuancing our hypothesis: success does not lie in the volume of subsidies, but in their strategic management. The premise that "a greater number of subsidies necessarily translates into better public transport" is precisely what the London example helps to qualify.</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London transport system, primarily managed by Transport for London (TfL), is frequently cited for its effectiveness in combining subsidies with robust operational efficiency, integrated urban planning, and strategic fare regulation (Knowles, 2012; Transport for London, 2023). This comprehensive approach goes far beyond the mere allocation of funds. Below, we detail some of the aspects that characterize what has been mentioned above:</w:t>
      </w:r>
    </w:p>
    <w:p w:rsidR="00000000" w:rsidDel="00000000" w:rsidP="00000000" w:rsidRDefault="00000000" w:rsidRPr="00000000" w14:paraId="00000055">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Governance and Control:</w:t>
      </w:r>
      <w:r w:rsidDel="00000000" w:rsidR="00000000" w:rsidRPr="00000000">
        <w:rPr>
          <w:rFonts w:ascii="Times New Roman" w:cs="Times New Roman" w:eastAsia="Times New Roman" w:hAnsi="Times New Roman"/>
          <w:sz w:val="24"/>
          <w:szCs w:val="24"/>
          <w:rtl w:val="0"/>
        </w:rPr>
        <w:t xml:space="preserve"> Unlike the fragmentation often observed in systems like Santiago's, TfL exercises centralized control over the planning, coordination, and fare definition of urban bus public transport (García Bernal &amp; Roberts, 2021). It owns the terminals, and London Buses is responsible for maintaining bus stops. This single authority allows for a coherent vision and management, which is crucial for implementing incentive and disincentive policies.</w:t>
      </w:r>
    </w:p>
    <w:p w:rsidR="00000000" w:rsidDel="00000000" w:rsidP="00000000" w:rsidRDefault="00000000" w:rsidRPr="00000000" w14:paraId="00000056">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Concession Model:</w:t>
      </w:r>
      <w:r w:rsidDel="00000000" w:rsidR="00000000" w:rsidRPr="00000000">
        <w:rPr>
          <w:rFonts w:ascii="Times New Roman" w:cs="Times New Roman" w:eastAsia="Times New Roman" w:hAnsi="Times New Roman"/>
          <w:sz w:val="24"/>
          <w:szCs w:val="24"/>
          <w:rtl w:val="0"/>
        </w:rPr>
        <w:t xml:space="preserve"> Contracts with private bus operators have a duration of 5 years, with the possibility of renewal, and remuneration is based on kilometers operated, subject to bonuses and penalties according to performance (García Bernal &amp; Roberts, 2021). This scheme directly incentivizes efficiency and service quality, as operators are rewarded or penalized based on clear performance metrics. It's worth noting that while Santiago's transport system has a similar concession model, its practical application has proven deficient, underscoring the critical importance of governance and monitoring.</w:t>
      </w:r>
    </w:p>
    <w:p w:rsidR="00000000" w:rsidDel="00000000" w:rsidP="00000000" w:rsidRDefault="00000000" w:rsidRPr="00000000" w14:paraId="00000057">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Investment in Infrastructure and Technology:</w:t>
      </w:r>
      <w:r w:rsidDel="00000000" w:rsidR="00000000" w:rsidRPr="00000000">
        <w:rPr>
          <w:rFonts w:ascii="Times New Roman" w:cs="Times New Roman" w:eastAsia="Times New Roman" w:hAnsi="Times New Roman"/>
          <w:sz w:val="24"/>
          <w:szCs w:val="24"/>
          <w:rtl w:val="0"/>
        </w:rPr>
        <w:t xml:space="preserve"> London has made significant investments in its infrastructure and technology. The implementation of a congestion charging system in the city center since 2003 (Walker, 2003; Knowles, 2012) has not only reduced congestion and pollution, but the revenues generated by this charge have been reinvested in public transport, improving the level of service. This is not just a subsidy, but a self-sustaining funding source that creates a virtuous cycle.</w:t>
      </w:r>
    </w:p>
    <w:p w:rsidR="00000000" w:rsidDel="00000000" w:rsidP="00000000" w:rsidRDefault="00000000" w:rsidRPr="00000000" w14:paraId="00000058">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 Quality and Demand:</w:t>
      </w:r>
      <w:r w:rsidDel="00000000" w:rsidR="00000000" w:rsidRPr="00000000">
        <w:rPr>
          <w:rFonts w:ascii="Times New Roman" w:cs="Times New Roman" w:eastAsia="Times New Roman" w:hAnsi="Times New Roman"/>
          <w:sz w:val="24"/>
          <w:szCs w:val="24"/>
          <w:rtl w:val="0"/>
        </w:rPr>
        <w:t xml:space="preserve"> London's success lies in the perception of public transport as a superior alternative to private vehicles. The expansion of metro and rail lines, the implementation of trams and guided buses, and improved safety for pedestrians and cyclists (Knowles, 2012) are all components of a strategy that enhances user experience and, consequently, drives demand.</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London, subsidies are not distributed indiscriminately. They are integrated into a model that prioritizes operational efficiency and performance orientation. The fact that TfL is the regulatory body that plans routes, defines fares, and remunerates operators based on kilometers operated and performance, means that subsidies are intrinsically linked to the production of a quality service. They are not mere grants to cover deficits, but strategic investments expected to generate returns in the form of reduced negative externalities and increased demand (The Future Is Public Transport, 2021).</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contrast with Santiago is fundamental. The introduction already points out that in Santiago, despite "subsidies that have exceeded 700 million dollars annually," this has not always translated into a "proportional improvement in user experience or a sustained increase in demand." The key difference is that in London, subsidies are a component of a broader system that incorporates strong disincentives for private car use (such as the congestion charge) and clear incentives for private operators to offer high-quality service. London's 'effective combination' is not a simple reflection of the subsidy amount; it is the result of how it integrates with rigorous operational efficiency, strategic urban planning, and robust institutional governance that oversees and penalizes underperformance.</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while London is a compelling example of the State's capacity to successfully intervene in urban transport, the counter-argument is that its success does not simply validate the idea of "more subsidies." Rather, it validates the thesis that subsidies are insufficient if not accompanied by a regulatory framework, quality control mechanisms, and complementary funding sources that ensure efficient resource allocation and management, transforming public investment into a real improvement in service and user experience. The lesson for Santiago is not to replicate the amount of subsidies, but rather the design of policies that ensure their effectiveness.</w:t>
      </w:r>
      <w:r w:rsidDel="00000000" w:rsidR="00000000" w:rsidRPr="00000000">
        <w:rPr>
          <w:rtl w:val="0"/>
        </w:rPr>
      </w:r>
    </w:p>
    <w:p w:rsidR="00000000" w:rsidDel="00000000" w:rsidP="00000000" w:rsidRDefault="00000000" w:rsidRPr="00000000" w14:paraId="0000005C">
      <w:pPr>
        <w:pStyle w:val="Heading2"/>
        <w:keepNext w:val="0"/>
        <w:keepLines w:val="0"/>
        <w:numPr>
          <w:ilvl w:val="0"/>
          <w:numId w:val="1"/>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r9ds74y2axhp" w:id="9"/>
      <w:bookmarkEnd w:id="9"/>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the relationship between subsidies and public transport quality in Santiago reveals an undeniable truth: the mere injection of fiscal resources, however substantial, does not automatically translate into better service or greater user satisfaction. The central question guiding this study, 'Are subsidies the most efficient and effective tool for improving urban public transport?', has indeed found a nuanced and complex answer.</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theoretical perspective, public transport subsidies are solidly justified by their ability to correct market failures, internalizing positive externalities such such as reduced congestion, pollution, and inequality of access to opportunities, as proposed by Parry and Small (2007) and Litman (2021). The economic logic is clear: by subsidizing, the aim is to stimulate public transport use towards a social optimum that the market alone would not achieve. However, the empirical reality in Santiago with the Transantiago/RED system, where subsidies have exceeded 700 million dollars annually without resolving structural problems like fare evasion and the perception of low quality, challenges the sufficiency of this theoretical justification in practice.</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to this dissociation between theory and reality lies in the absence of a comprehensive system of incentives and disincentives and robust institutional governance. As illustrated by the contrast with systems like London's, success does not solely reside in the availability of funds. The case of London, managed by Transport for London (TfL), demonstrates that subsidies are indeed a component, but their effectiveness is exponentially enhanced when integrated into a centralized management model with a concession contract system that remunerates operators based on performance, subject to bonuses and penalties (García Bernal &amp; Roberts, 2021). Furthermore, London has implemented measures to disincentivize private vehicle use, such as congestion charging, with revenues being reinvested into the public transport system, creating a virtuous cycle of quality improvement and, consequently, increased demand (Knowles, 2012). This contrasts with the evidence for Santiago, where although subsidies may have reduced operator infractions, the improvement in user satisfaction (measured by complaints) appears to be more closely linked to competition among companies (Troncoso, González y Salazar, 2019).</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deficiency of the Chilean system is not due to a lack of resources, but, as has been argued, to their inefficient allocation and management. The comparative experience and persistent challenges in Santiago underscore that subsidies are a necessary, but not sufficient, tool. Their true effectiveness is unleashed when accompanied by long-term strategic planning, rigorous performance monitoring mechanisms, robust institutional governance that coordinates and oversees, and a public policy design that generates the correct incentives for both operators and users.</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idea that has guided this analysis is clear: instead of spending more, the challenge lies in spending better. For Santiago, this implies a redefinition of the State's role in urban transport provision, moving beyond mere subsidization to become an articulator and supervisor that promotes operational efficiency, service quality, and financial sustainability. Only then will the substantial public resources allocated to transport truly translate into a substantial improvement in user experience and an urban mobility system that effectively serves all citizens, laying the groundwork for a profound transformation of the management model.</w:t>
      </w:r>
    </w:p>
    <w:p w:rsidR="00000000" w:rsidDel="00000000" w:rsidP="00000000" w:rsidRDefault="00000000" w:rsidRPr="00000000" w14:paraId="00000062">
      <w:pPr>
        <w:pStyle w:val="Heading2"/>
        <w:numPr>
          <w:ilvl w:val="0"/>
          <w:numId w:val="1"/>
        </w:numPr>
        <w:spacing w:after="0" w:afterAutospacing="0" w:line="360" w:lineRule="auto"/>
        <w:ind w:left="720" w:hanging="360"/>
        <w:jc w:val="both"/>
        <w:rPr>
          <w:rFonts w:ascii="Times New Roman" w:cs="Times New Roman" w:eastAsia="Times New Roman" w:hAnsi="Times New Roman"/>
          <w:b w:val="1"/>
          <w:bCs w:val="1"/>
          <w:sz w:val="24"/>
          <w:szCs w:val="24"/>
        </w:rPr>
      </w:pPr>
      <w:bookmarkStart w:colFirst="0" w:colLast="0" w:name="_o6vueglrdnpe" w:id="10"/>
      <w:bookmarkEnd w:id="10"/>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Biblioteca del Congreso Nacional de Chile. (s. f.). Experiencia comparada de modelos de transporte públicos de buses urbanos. </w:t>
      </w:r>
      <w:hyperlink r:id="rId6">
        <w:r w:rsidDel="00000000" w:rsidR="00000000" w:rsidRPr="00000000">
          <w:rPr>
            <w:rFonts w:ascii="Times New Roman" w:cs="Times New Roman" w:eastAsia="Times New Roman" w:hAnsi="Times New Roman"/>
            <w:color w:val="1155cc"/>
            <w:sz w:val="24"/>
            <w:szCs w:val="24"/>
            <w:u w:val="single"/>
            <w:rtl w:val="0"/>
          </w:rPr>
          <w:t xml:space="preserve">https://obtienearchivo.bcn.cl/obtienearchivo?id=repositorio/10221/32018/1/BCN___Modelo_comparado_de_transporte_de_buses_.pdf</w:t>
        </w:r>
      </w:hyperlink>
      <w:r w:rsidDel="00000000" w:rsidR="00000000" w:rsidRPr="00000000">
        <w:rPr>
          <w:rtl w:val="0"/>
        </w:rPr>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Centro de Políticas Públicas, Universidad del Desarrollo. (2021, mayo). Análisis nº 40. </w:t>
      </w:r>
      <w:hyperlink r:id="rId7">
        <w:r w:rsidDel="00000000" w:rsidR="00000000" w:rsidRPr="00000000">
          <w:rPr>
            <w:rFonts w:ascii="Times New Roman" w:cs="Times New Roman" w:eastAsia="Times New Roman" w:hAnsi="Times New Roman"/>
            <w:color w:val="1155cc"/>
            <w:sz w:val="24"/>
            <w:szCs w:val="24"/>
            <w:u w:val="single"/>
            <w:rtl w:val="0"/>
          </w:rPr>
          <w:t xml:space="preserve">https://gobierno.udd.cl/cpp/files/2021/05/An%C3%A1lisis-n%C2%BA40.pdf</w:t>
        </w:r>
      </w:hyperlink>
      <w:r w:rsidDel="00000000" w:rsidR="00000000" w:rsidRPr="00000000">
        <w:rPr>
          <w:rtl w:val="0"/>
        </w:rPr>
      </w:r>
    </w:p>
    <w:p w:rsidR="00000000" w:rsidDel="00000000" w:rsidP="00000000" w:rsidRDefault="00000000" w:rsidRPr="00000000" w14:paraId="0000006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European Conference of Ministers of Transport. (2007). (De)Regulation of the taxi industry. (ECMT Round Tables, No. 133). OECD Publishing.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https://doi.org/10.1787/9789282101155-en</w:t>
        </w:r>
      </w:hyperlink>
      <w:r w:rsidDel="00000000" w:rsidR="00000000" w:rsidRPr="00000000">
        <w:rPr>
          <w:rtl w:val="0"/>
        </w:rPr>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International Transport Forum &amp; C40 Cities Climate Leadership Group. (s. f.). Making COP26 count [Informe conjunto]. </w:t>
      </w:r>
      <w:hyperlink r:id="rId9">
        <w:r w:rsidDel="00000000" w:rsidR="00000000" w:rsidRPr="00000000">
          <w:rPr>
            <w:rFonts w:ascii="Times New Roman" w:cs="Times New Roman" w:eastAsia="Times New Roman" w:hAnsi="Times New Roman"/>
            <w:color w:val="1155cc"/>
            <w:sz w:val="24"/>
            <w:szCs w:val="24"/>
            <w:u w:val="single"/>
            <w:rtl w:val="0"/>
          </w:rPr>
          <w:t xml:space="preserve">https://www.c40.org/wp-content/uploads/2021/11/ITF-C40-joint-report-Making-COP26-count-Nov-2021-ES-1.pdf</w:t>
        </w:r>
      </w:hyperlink>
      <w:r w:rsidDel="00000000" w:rsidR="00000000" w:rsidRPr="00000000">
        <w:rPr>
          <w:rtl w:val="0"/>
        </w:rPr>
      </w:r>
    </w:p>
    <w:p w:rsidR="00000000" w:rsidDel="00000000" w:rsidP="00000000" w:rsidRDefault="00000000" w:rsidRPr="00000000" w14:paraId="0000006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Litman, T. (2021). Evaluating public transit benefits and costs: Best practices guidebook. Victoria Transport Policy Institute.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https://www.youtube.com/watch?v=86XujUxXyEM</w:t>
        </w:r>
      </w:hyperlink>
      <w:r w:rsidDel="00000000" w:rsidR="00000000" w:rsidRPr="00000000">
        <w:rPr>
          <w:rtl w:val="0"/>
        </w:rPr>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Ministerio de Transportes y Telecomunicaciones. (2022). Informe de evaluación de los subsidios al transporte público. </w:t>
      </w:r>
      <w:hyperlink r:id="rId11">
        <w:r w:rsidDel="00000000" w:rsidR="00000000" w:rsidRPr="00000000">
          <w:rPr>
            <w:rFonts w:ascii="Times New Roman" w:cs="Times New Roman" w:eastAsia="Times New Roman" w:hAnsi="Times New Roman"/>
            <w:color w:val="1155cc"/>
            <w:sz w:val="24"/>
            <w:szCs w:val="24"/>
            <w:u w:val="single"/>
            <w:rtl w:val="0"/>
          </w:rPr>
          <w:t xml:space="preserve">https://www.dipres.gob.cl/597/w3-multipropertyvalues-16872-34905.html</w:t>
        </w:r>
      </w:hyperlink>
      <w:r w:rsidDel="00000000" w:rsidR="00000000" w:rsidRPr="00000000">
        <w:rPr>
          <w:rtl w:val="0"/>
        </w:rPr>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Parry, I., &amp; Small, K. (2007). Should urban transit subsidies be reduced? Public Economics: Taxation [SSRN Electronic Journal].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https://doi.org/10.2139/ssrn.1001430</w:t>
        </w:r>
      </w:hyperlink>
      <w:r w:rsidDel="00000000" w:rsidR="00000000" w:rsidRPr="00000000">
        <w:rPr>
          <w:rtl w:val="0"/>
        </w:rPr>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Rivas Tovar, L. A., Coronel Espejel, J. A., Hernández, B. M., Chávez, A., &amp; Galicia, D. M. (s. f.). Londres, Madrid y Ciudad de México. Innovar, 17(30), [pp. XX-XX]. </w:t>
      </w:r>
      <w:hyperlink r:id="rId13">
        <w:r w:rsidDel="00000000" w:rsidR="00000000" w:rsidRPr="00000000">
          <w:rPr>
            <w:rFonts w:ascii="Times New Roman" w:cs="Times New Roman" w:eastAsia="Times New Roman" w:hAnsi="Times New Roman"/>
            <w:color w:val="1155cc"/>
            <w:sz w:val="24"/>
            <w:szCs w:val="24"/>
            <w:u w:val="single"/>
            <w:rtl w:val="0"/>
          </w:rPr>
          <w:t xml:space="preserve">http://www.scielo.org.co/pdf/inno/v17n30/v17n30a08.pdf</w:t>
        </w:r>
      </w:hyperlink>
      <w:r w:rsidDel="00000000" w:rsidR="00000000" w:rsidRPr="00000000">
        <w:rPr>
          <w:rtl w:val="0"/>
        </w:rPr>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Transport for London. (2023). Annual report and statement of accounts 2022/23. </w:t>
      </w:r>
      <w:hyperlink r:id="rId14">
        <w:r w:rsidDel="00000000" w:rsidR="00000000" w:rsidRPr="00000000">
          <w:rPr>
            <w:rFonts w:ascii="Times New Roman" w:cs="Times New Roman" w:eastAsia="Times New Roman" w:hAnsi="Times New Roman"/>
            <w:color w:val="1155cc"/>
            <w:sz w:val="24"/>
            <w:szCs w:val="24"/>
            <w:u w:val="single"/>
            <w:rtl w:val="0"/>
          </w:rPr>
          <w:t xml:space="preserve">https://tfl.gov.uk/corporate/publications-and-reports/annual-report</w:t>
        </w:r>
      </w:hyperlink>
      <w:r w:rsidDel="00000000" w:rsidR="00000000" w:rsidRPr="00000000">
        <w:rPr>
          <w:rtl w:val="0"/>
        </w:rPr>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Universitat Politècnica de Catalunya. (s. f.). [Título del documento específico del PDF]. </w:t>
      </w:r>
      <w:hyperlink r:id="rId15">
        <w:r w:rsidDel="00000000" w:rsidR="00000000" w:rsidRPr="00000000">
          <w:rPr>
            <w:rFonts w:ascii="Times New Roman" w:cs="Times New Roman" w:eastAsia="Times New Roman" w:hAnsi="Times New Roman"/>
            <w:color w:val="1155cc"/>
            <w:sz w:val="24"/>
            <w:szCs w:val="24"/>
            <w:u w:val="single"/>
            <w:rtl w:val="0"/>
          </w:rPr>
          <w:t xml:space="preserve">https://upcommons.upc.edu/bitstream/handle/2099.1/3390/40877-7.pdf</w:t>
        </w:r>
      </w:hyperlink>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numPr>
          <w:ilvl w:val="0"/>
          <w:numId w:val="1"/>
        </w:numPr>
        <w:spacing w:line="360" w:lineRule="auto"/>
        <w:ind w:left="720" w:hanging="360"/>
        <w:jc w:val="both"/>
        <w:rPr>
          <w:rFonts w:ascii="Times New Roman" w:cs="Times New Roman" w:eastAsia="Times New Roman" w:hAnsi="Times New Roman"/>
          <w:b w:val="1"/>
          <w:bCs w:val="1"/>
          <w:sz w:val="24"/>
          <w:szCs w:val="24"/>
        </w:rPr>
      </w:pPr>
      <w:bookmarkStart w:colFirst="0" w:colLast="0" w:name="_vid347rd1dqf" w:id="11"/>
      <w:bookmarkEnd w:id="11"/>
      <w:r w:rsidDel="00000000" w:rsidR="00000000" w:rsidRPr="00000000">
        <w:rPr>
          <w:rFonts w:ascii="Times New Roman" w:cs="Times New Roman" w:eastAsia="Times New Roman" w:hAnsi="Times New Roman"/>
          <w:b w:val="1"/>
          <w:bCs w:val="1"/>
          <w:sz w:val="24"/>
          <w:szCs w:val="24"/>
          <w:rtl w:val="0"/>
        </w:rPr>
        <w:t xml:space="preserve">Appendix</w:t>
      </w:r>
      <w:r w:rsidDel="00000000" w:rsidR="00000000" w:rsidRPr="00000000">
        <w:rPr>
          <w:rtl w:val="0"/>
        </w:rPr>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essay, the use of artificial intelligence (AI) tools is acknowledged as a support resource. Access to the AI conversation (</w:t>
      </w:r>
      <w:hyperlink r:id="rId16">
        <w:r w:rsidDel="00000000" w:rsidR="00000000" w:rsidRPr="00000000">
          <w:rPr>
            <w:rFonts w:ascii="Times New Roman" w:cs="Times New Roman" w:eastAsia="Times New Roman" w:hAnsi="Times New Roman"/>
            <w:color w:val="1155cc"/>
            <w:sz w:val="24"/>
            <w:szCs w:val="24"/>
            <w:u w:val="single"/>
            <w:rtl w:val="0"/>
          </w:rPr>
          <w:t xml:space="preserve">Access to artificial intelligence support resource</w:t>
        </w:r>
      </w:hyperlink>
      <w:r w:rsidDel="00000000" w:rsidR="00000000" w:rsidRPr="00000000">
        <w:rPr>
          <w:rFonts w:ascii="Times New Roman" w:cs="Times New Roman" w:eastAsia="Times New Roman" w:hAnsi="Times New Roman"/>
          <w:sz w:val="24"/>
          <w:szCs w:val="24"/>
          <w:rtl w:val="0"/>
        </w:rPr>
        <w:t xml:space="preserve">) is provided, explicitly indicating that the fragments generated by this tool correspond to paragraphs from the same essay. </w:t>
      </w:r>
    </w:p>
    <w:p w:rsidR="00000000" w:rsidDel="00000000" w:rsidP="00000000" w:rsidRDefault="00000000" w:rsidRPr="00000000" w14:paraId="0000007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Revisa este ensayo y ofréceme sugerencias detalladas para mejorar su claridad, fluidez y la fuerza de sus argumentos. La estructura ya es sólida, la tesis clara y bien fundamentada con bibliografía y un caso de estudio. Organiza tus sugerencias por sección.</w:t>
      </w:r>
    </w:p>
    <w:p w:rsidR="00000000" w:rsidDel="00000000" w:rsidP="00000000" w:rsidRDefault="00000000" w:rsidRPr="00000000" w14:paraId="00000072">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Revisa los siguientes párrafos y enfócate en mejorar la claridad y la conexión de ideas entre ellos. Necesito modificaciones para:</w:t>
      </w:r>
    </w:p>
    <w:p w:rsidR="00000000" w:rsidDel="00000000" w:rsidP="00000000" w:rsidRDefault="00000000" w:rsidRPr="00000000" w14:paraId="0000007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Asegurar que cada párrafo tenga una idea principal clara y que esta se desarrolle de manera lógica.</w:t>
      </w:r>
    </w:p>
    <w:p w:rsidR="00000000" w:rsidDel="00000000" w:rsidP="00000000" w:rsidRDefault="00000000" w:rsidRPr="00000000" w14:paraId="00000075">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Optimizar las transiciones entre párrafos para que la lectura sea fluida y las ideas se enlazan de forma coherente.</w:t>
      </w:r>
    </w:p>
    <w:p w:rsidR="00000000" w:rsidDel="00000000" w:rsidP="00000000" w:rsidRDefault="00000000" w:rsidRPr="00000000" w14:paraId="00000076">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Eliminar cualquier ambigüedad o información que pueda dificultar la comprensión del lector.</w:t>
      </w:r>
    </w:p>
    <w:p w:rsidR="00000000" w:rsidDel="00000000" w:rsidP="00000000" w:rsidRDefault="00000000" w:rsidRPr="00000000" w14:paraId="00000077">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Identificar si hay ideas que no se relacionan bien con el resto del párrafo o con el tema general.”</w:t>
      </w:r>
    </w:p>
    <w:p w:rsidR="00000000" w:rsidDel="00000000" w:rsidP="00000000" w:rsidRDefault="00000000" w:rsidRPr="00000000" w14:paraId="00000078">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 las citas en el siguiente texto y dame sugerencias para mejorar su efectividad y formato.</w:t>
      </w:r>
    </w:p>
    <w:p w:rsidR="00000000" w:rsidDel="00000000" w:rsidP="00000000" w:rsidRDefault="00000000" w:rsidRPr="00000000" w14:paraId="0000007A">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favor, traduce los siguientes párrafos a Inglés. Asegúrate de que la traducción sea precisa, fluida y que mantenga el tono y el significado original del texto. Presta especial atención a la cohesión de las ideas entre las oraciones y los párrafos.</w:t>
      </w:r>
    </w:p>
    <w:p w:rsidR="00000000" w:rsidDel="00000000" w:rsidP="00000000" w:rsidRDefault="00000000" w:rsidRPr="00000000" w14:paraId="0000007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language of the prompt is in Spanish because this essay was written in that language.</w:t>
      </w:r>
      <w:r w:rsidDel="00000000" w:rsidR="00000000" w:rsidRPr="00000000">
        <w:rPr>
          <w:rtl w:val="0"/>
        </w:rPr>
      </w:r>
    </w:p>
    <w:sectPr>
      <w:headerReference r:id="rId17" w:type="default"/>
      <w:headerReference r:id="rId18" w:type="first"/>
      <w:footerReference r:id="rId19" w:type="default"/>
      <w:footerReference r:id="rId20" w:type="first"/>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-409574</wp:posOffset>
          </wp:positionH>
          <wp:positionV relativeFrom="paragraph">
            <wp:posOffset>95250</wp:posOffset>
          </wp:positionV>
          <wp:extent cx="928688" cy="12744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28688" cy="12744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dipres.gob.cl/597/w3-multipropertyvalues-16872-34905.html" TargetMode="External"/><Relationship Id="rId10" Type="http://schemas.openxmlformats.org/officeDocument/2006/relationships/hyperlink" Target="https://www.youtube.com/watch?v=86XujUxXyEM" TargetMode="External"/><Relationship Id="rId13" Type="http://schemas.openxmlformats.org/officeDocument/2006/relationships/hyperlink" Target="http://www.scielo.org.co/pdf/inno/v17n30/v17n30a08.pdf" TargetMode="External"/><Relationship Id="rId12" Type="http://schemas.openxmlformats.org/officeDocument/2006/relationships/hyperlink" Target="https://doi.org/10.2139/ssrn.10014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40.org/wp-content/uploads/2021/11/ITF-C40-joint-report-Making-COP26-count-Nov-2021-ES-1.pdf" TargetMode="External"/><Relationship Id="rId15" Type="http://schemas.openxmlformats.org/officeDocument/2006/relationships/hyperlink" Target="https://upcommons.upc.edu/bitstream/handle/2099.1/3390/40877-7.pdf" TargetMode="External"/><Relationship Id="rId14" Type="http://schemas.openxmlformats.org/officeDocument/2006/relationships/hyperlink" Target="https://tfl.gov.uk/corporate/publications-and-reports/annual-report" TargetMode="External"/><Relationship Id="rId17" Type="http://schemas.openxmlformats.org/officeDocument/2006/relationships/header" Target="header1.xml"/><Relationship Id="rId16" Type="http://schemas.openxmlformats.org/officeDocument/2006/relationships/hyperlink" Target="https://g.co/gemini/share/bf9978dd326c"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obtienearchivo.bcn.cl/obtienearchivo?id=repositorio/10221/32018/1/BCN___Modelo_comparado_de_transporte_de_buses_.pdf" TargetMode="External"/><Relationship Id="rId18" Type="http://schemas.openxmlformats.org/officeDocument/2006/relationships/header" Target="header2.xml"/><Relationship Id="rId7" Type="http://schemas.openxmlformats.org/officeDocument/2006/relationships/hyperlink" Target="https://gobierno.udd.cl/cpp/files/2021/05/An%C3%A1lisis-n%C2%BA40.pdf" TargetMode="External"/><Relationship Id="rId8" Type="http://schemas.openxmlformats.org/officeDocument/2006/relationships/hyperlink" Target="https://doi.org/10.1787/9789282101155-e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