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zdnak7n49lqr"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sz w:val="44"/>
          <w:szCs w:val="44"/>
        </w:rPr>
      </w:pPr>
      <w:bookmarkStart w:colFirst="0" w:colLast="0" w:name="_9k5cowwgdpcu" w:id="1"/>
      <w:bookmarkEnd w:id="1"/>
      <w:r w:rsidDel="00000000" w:rsidR="00000000" w:rsidRPr="00000000">
        <w:rPr>
          <w:sz w:val="44"/>
          <w:szCs w:val="44"/>
          <w:rtl w:val="0"/>
        </w:rPr>
        <w:t xml:space="preserve">Caso 2</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Grupo 21</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Integrantes: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Franco Nicolai Corvalán Mansourova</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Sara Kita Tamashiro</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Martín Ignacio Cerda Moraga</w:t>
      </w:r>
    </w:p>
    <w:p w:rsidR="00000000" w:rsidDel="00000000" w:rsidP="00000000" w:rsidRDefault="00000000" w:rsidRPr="00000000" w14:paraId="00000017">
      <w:pPr>
        <w:rPr/>
      </w:pPr>
      <w:r w:rsidDel="00000000" w:rsidR="00000000" w:rsidRPr="00000000">
        <w:rPr>
          <w:rtl w:val="0"/>
        </w:rPr>
        <w:t xml:space="preserve">Fecha de entrega: 15 de junio 2026</w:t>
      </w:r>
    </w:p>
    <w:p w:rsidR="00000000" w:rsidDel="00000000" w:rsidP="00000000" w:rsidRDefault="00000000" w:rsidRPr="00000000" w14:paraId="00000018">
      <w:pPr>
        <w:rPr>
          <w:b w:val="1"/>
          <w:bCs w:val="1"/>
        </w:rPr>
      </w:pP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Tabla de Contenidos</w:t>
      </w:r>
    </w:p>
    <w:sdt>
      <w:sdtPr>
        <w:id w:val="206301926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jc w:val="left"/>
            <w:rPr>
              <w:rFonts w:ascii="Arial" w:cs="Arial" w:eastAsia="Arial" w:hAnsi="Arial"/>
              <w:b w:val="1"/>
              <w:bCs w:val="1"/>
            </w:rPr>
          </w:pPr>
          <w:r w:rsidDel="00000000" w:rsidR="00000000" w:rsidRPr="00000000">
            <w:fldChar w:fldCharType="begin"/>
            <w:instrText xml:space="preserve"> TOC \h \u \z \t "Heading 1,1,Heading 2,3,Heading 3,3,Heading 4,4,Heading 5,5,Heading 6,6,"</w:instrText>
            <w:fldChar w:fldCharType="separate"/>
          </w:r>
          <w:hyperlink w:anchor="_xktt8t1iout">
            <w:r w:rsidDel="00000000" w:rsidR="00000000" w:rsidRPr="00000000">
              <w:rPr>
                <w:sz w:val="16"/>
                <w:szCs w:val="16"/>
                <w:rtl w:val="0"/>
              </w:rPr>
              <w:t xml:space="preserve">I. Decisión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jc w:val="left"/>
            <w:rPr>
              <w:rFonts w:ascii="Arial" w:cs="Arial" w:eastAsia="Arial" w:hAnsi="Arial"/>
            </w:rPr>
          </w:pPr>
          <w:hyperlink w:anchor="_7giep2qusxas">
            <w:r w:rsidDel="00000000" w:rsidR="00000000" w:rsidRPr="00000000">
              <w:rPr>
                <w:sz w:val="16"/>
                <w:szCs w:val="16"/>
                <w:rtl w:val="0"/>
              </w:rPr>
              <w:t xml:space="preserve">A. Razón 1:</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jc w:val="left"/>
            <w:rPr>
              <w:rFonts w:ascii="Arial" w:cs="Arial" w:eastAsia="Arial" w:hAnsi="Arial"/>
            </w:rPr>
          </w:pPr>
          <w:hyperlink w:anchor="_427dlndhe547">
            <w:r w:rsidDel="00000000" w:rsidR="00000000" w:rsidRPr="00000000">
              <w:rPr>
                <w:sz w:val="16"/>
                <w:szCs w:val="16"/>
                <w:rtl w:val="0"/>
              </w:rPr>
              <w:t xml:space="preserve">B. Razón 2:</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jc w:val="left"/>
            <w:rPr>
              <w:rFonts w:ascii="Arial" w:cs="Arial" w:eastAsia="Arial" w:hAnsi="Arial"/>
            </w:rPr>
          </w:pPr>
          <w:hyperlink w:anchor="_cutqpfa5iiog">
            <w:r w:rsidDel="00000000" w:rsidR="00000000" w:rsidRPr="00000000">
              <w:rPr>
                <w:sz w:val="16"/>
                <w:szCs w:val="16"/>
                <w:rtl w:val="0"/>
              </w:rPr>
              <w:t xml:space="preserve">C. Razón 3:</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rPr>
          </w:pPr>
          <w:hyperlink w:anchor="_3ckab63rqwyt">
            <w:r w:rsidDel="00000000" w:rsidR="00000000" w:rsidRPr="00000000">
              <w:rPr>
                <w:sz w:val="16"/>
                <w:szCs w:val="16"/>
                <w:rtl w:val="0"/>
              </w:rPr>
              <w:t xml:space="preserve">II. Estados financieros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rFonts w:ascii="Arial" w:cs="Arial" w:eastAsia="Arial" w:hAnsi="Arial"/>
            </w:rPr>
          </w:pPr>
          <w:hyperlink w:anchor="_shv3mh9xppmf">
            <w:r w:rsidDel="00000000" w:rsidR="00000000" w:rsidRPr="00000000">
              <w:rPr>
                <w:sz w:val="16"/>
                <w:szCs w:val="16"/>
                <w:rtl w:val="0"/>
              </w:rPr>
              <w:t xml:space="preserve">A. Razón Simple: Cuadro y Gráfico de Evolución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rFonts w:ascii="Arial" w:cs="Arial" w:eastAsia="Arial" w:hAnsi="Arial"/>
            </w:rPr>
          </w:pPr>
          <w:hyperlink w:anchor="_4snoghpp6i5d">
            <w:r w:rsidDel="00000000" w:rsidR="00000000" w:rsidRPr="00000000">
              <w:rPr>
                <w:sz w:val="16"/>
                <w:szCs w:val="16"/>
                <w:rtl w:val="0"/>
              </w:rPr>
              <w:t xml:space="preserve">B. Endeudamiento sobre Activos Totales: Cuadro y Gráfico de Evolución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rFonts w:ascii="Arial" w:cs="Arial" w:eastAsia="Arial" w:hAnsi="Arial"/>
            </w:rPr>
          </w:pPr>
          <w:hyperlink w:anchor="_c6znaxbdz35l">
            <w:r w:rsidDel="00000000" w:rsidR="00000000" w:rsidRPr="00000000">
              <w:rPr>
                <w:sz w:val="16"/>
                <w:szCs w:val="16"/>
                <w:rtl w:val="0"/>
              </w:rPr>
              <w:t xml:space="preserve">C. Rotación del Activo Total: Cuadro y Gráfico de Evolución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rFonts w:ascii="Arial" w:cs="Arial" w:eastAsia="Arial" w:hAnsi="Arial"/>
            </w:rPr>
          </w:pPr>
          <w:hyperlink w:anchor="_o9wznohnjtm1">
            <w:r w:rsidDel="00000000" w:rsidR="00000000" w:rsidRPr="00000000">
              <w:rPr>
                <w:sz w:val="16"/>
                <w:szCs w:val="16"/>
                <w:rtl w:val="0"/>
              </w:rPr>
              <w:t xml:space="preserve">D. Periodo Promedio de Cobro: Cuadro y Gráfico de Evolución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jc w:val="left"/>
            <w:rPr>
              <w:rFonts w:ascii="Arial" w:cs="Arial" w:eastAsia="Arial" w:hAnsi="Arial"/>
            </w:rPr>
          </w:pPr>
          <w:hyperlink w:anchor="_ywmjv9z4dsgw">
            <w:r w:rsidDel="00000000" w:rsidR="00000000" w:rsidRPr="00000000">
              <w:rPr>
                <w:sz w:val="16"/>
                <w:szCs w:val="16"/>
                <w:rtl w:val="0"/>
              </w:rPr>
              <w:t xml:space="preserve">E. Rentabilidad de las Ventas (ROS): Cuadro y Gráfico de Evolución</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jc w:val="left"/>
            <w:rPr>
              <w:rFonts w:ascii="Arial" w:cs="Arial" w:eastAsia="Arial" w:hAnsi="Arial"/>
            </w:rPr>
          </w:pPr>
          <w:hyperlink w:anchor="_g0dkg1vlx0mm">
            <w:r w:rsidDel="00000000" w:rsidR="00000000" w:rsidRPr="00000000">
              <w:rPr>
                <w:sz w:val="16"/>
                <w:szCs w:val="16"/>
                <w:rtl w:val="0"/>
              </w:rPr>
              <w:t xml:space="preserve">F. Rentabilidad de los Activos (ROA): Cuadro y Gráfico de Evolución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rFonts w:ascii="Arial" w:cs="Arial" w:eastAsia="Arial" w:hAnsi="Arial"/>
            </w:rPr>
          </w:pPr>
          <w:hyperlink w:anchor="_g49vm4o8gzjg">
            <w:r w:rsidDel="00000000" w:rsidR="00000000" w:rsidRPr="00000000">
              <w:rPr>
                <w:sz w:val="16"/>
                <w:szCs w:val="16"/>
                <w:rtl w:val="0"/>
              </w:rPr>
              <w:t xml:space="preserve">G. Rentabilidad del Patrimonio (ROE): Cuadro y Gráfico de Evolución</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rFonts w:ascii="Arial" w:cs="Arial" w:eastAsia="Arial" w:hAnsi="Arial"/>
            </w:rPr>
          </w:pPr>
          <w:hyperlink w:anchor="_lawrphx4xs5d">
            <w:r w:rsidDel="00000000" w:rsidR="00000000" w:rsidRPr="00000000">
              <w:rPr>
                <w:sz w:val="16"/>
                <w:szCs w:val="16"/>
                <w:rtl w:val="0"/>
              </w:rPr>
              <w:t xml:space="preserve">H. Precio de Mercado de la Acción al Inicio del Año: Cuadro y Gráfico de Evolución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jc w:val="left"/>
            <w:rPr>
              <w:rFonts w:ascii="Arial" w:cs="Arial" w:eastAsia="Arial" w:hAnsi="Arial"/>
            </w:rPr>
          </w:pPr>
          <w:hyperlink w:anchor="_xcglpz9ncosh">
            <w:r w:rsidDel="00000000" w:rsidR="00000000" w:rsidRPr="00000000">
              <w:rPr>
                <w:sz w:val="16"/>
                <w:szCs w:val="16"/>
                <w:rtl w:val="0"/>
              </w:rPr>
              <w:t xml:space="preserve">I. Relación Bolsa/Libro: Cuadro y Gráfico de Evolución</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bCs w:val="1"/>
            </w:rPr>
          </w:pPr>
          <w:hyperlink w:anchor="_scho0s1yfcmb">
            <w:r w:rsidDel="00000000" w:rsidR="00000000" w:rsidRPr="00000000">
              <w:rPr>
                <w:sz w:val="16"/>
                <w:szCs w:val="16"/>
                <w:rtl w:val="0"/>
              </w:rPr>
              <w:t xml:space="preserve">III. Referencias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rPr>
          </w:pPr>
          <w:hyperlink w:anchor="_98jisfdx56kl">
            <w:r w:rsidDel="00000000" w:rsidR="00000000" w:rsidRPr="00000000">
              <w:rPr>
                <w:sz w:val="16"/>
                <w:szCs w:val="16"/>
                <w:rtl w:val="0"/>
              </w:rPr>
              <w:t xml:space="preserve">IV. Anexo</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widowControl w:val="0"/>
        <w:tabs>
          <w:tab w:val="right" w:leader="dot" w:pos="12000"/>
        </w:tabs>
        <w:spacing w:before="60" w:lineRule="auto"/>
        <w:rPr>
          <w:b w:val="1"/>
          <w:bCs w:val="1"/>
        </w:rPr>
      </w:pPr>
      <w:r w:rsidDel="00000000" w:rsidR="00000000" w:rsidRPr="00000000">
        <w:rPr>
          <w:rtl w:val="0"/>
        </w:rPr>
      </w:r>
    </w:p>
    <w:p w:rsidR="00000000" w:rsidDel="00000000" w:rsidP="00000000" w:rsidRDefault="00000000" w:rsidRPr="00000000" w14:paraId="0000002B">
      <w:pPr>
        <w:keepLines w:val="1"/>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2C">
      <w:pPr>
        <w:keepLines w:val="1"/>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2D">
      <w:pPr>
        <w:pStyle w:val="Heading1"/>
        <w:spacing w:after="200" w:line="240" w:lineRule="auto"/>
        <w:ind w:left="0" w:firstLine="0"/>
        <w:rPr/>
      </w:pPr>
      <w:bookmarkStart w:colFirst="0" w:colLast="0" w:name="_ir8rxffu9ab5" w:id="2"/>
      <w:bookmarkEnd w:id="2"/>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Lines w:val="1"/>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30">
      <w:pPr>
        <w:pStyle w:val="Heading1"/>
        <w:spacing w:after="200" w:line="240" w:lineRule="auto"/>
        <w:rPr/>
      </w:pPr>
      <w:bookmarkStart w:colFirst="0" w:colLast="0" w:name="_xgcs9w8w8sqi" w:id="3"/>
      <w:bookmarkEnd w:id="3"/>
      <w:r w:rsidDel="00000000" w:rsidR="00000000" w:rsidRPr="00000000">
        <w:rPr>
          <w:rtl w:val="0"/>
        </w:rPr>
      </w:r>
    </w:p>
    <w:p w:rsidR="00000000" w:rsidDel="00000000" w:rsidP="00000000" w:rsidRDefault="00000000" w:rsidRPr="00000000" w14:paraId="00000031">
      <w:pPr>
        <w:keepLines w:val="1"/>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32">
      <w:pPr>
        <w:keepLines w:val="1"/>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5">
      <w:pPr>
        <w:pStyle w:val="Heading1"/>
        <w:ind w:left="0" w:firstLine="0"/>
        <w:rPr/>
      </w:pPr>
      <w:bookmarkStart w:colFirst="0" w:colLast="0" w:name="_iqp9u8oo9j1" w:id="4"/>
      <w:bookmarkEnd w:id="4"/>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2"/>
        </w:numPr>
        <w:rPr>
          <w:b w:val="1"/>
          <w:bCs w:val="1"/>
        </w:rPr>
      </w:pPr>
      <w:bookmarkStart w:colFirst="0" w:colLast="0" w:name="_xktt8t1iout" w:id="5"/>
      <w:bookmarkEnd w:id="5"/>
      <w:r w:rsidDel="00000000" w:rsidR="00000000" w:rsidRPr="00000000">
        <w:rPr>
          <w:rtl w:val="0"/>
        </w:rPr>
        <w:t xml:space="preserve">Decisión</w:t>
      </w:r>
    </w:p>
    <w:p w:rsidR="00000000" w:rsidDel="00000000" w:rsidP="00000000" w:rsidRDefault="00000000" w:rsidRPr="00000000" w14:paraId="00000037">
      <w:pPr>
        <w:rPr>
          <w:b w:val="1"/>
          <w:bCs w:val="1"/>
        </w:rPr>
      </w:pPr>
      <w:r w:rsidDel="00000000" w:rsidR="00000000" w:rsidRPr="00000000">
        <w:rPr>
          <w:rtl w:val="0"/>
        </w:rPr>
        <w:t xml:space="preserve">​El análisis financiero y organizacional de Clínica Las Condes S.A. concluye con un NO a la inversión, cuyos fundamentos técnicos se exponen a continuación:</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u w:val="single"/>
          <w:rtl w:val="0"/>
        </w:rPr>
        <w:t xml:space="preserve">Razón 1</w:t>
      </w:r>
      <w:r w:rsidDel="00000000" w:rsidR="00000000" w:rsidRPr="00000000">
        <w:rPr>
          <w:b w:val="1"/>
          <w:bCs w:val="1"/>
          <w:rtl w:val="0"/>
        </w:rPr>
        <w:t xml:space="preserve">: </w:t>
      </w:r>
      <w:r w:rsidDel="00000000" w:rsidR="00000000" w:rsidRPr="00000000">
        <w:rPr>
          <w:rtl w:val="0"/>
        </w:rPr>
        <w:t xml:space="preserve">Existe una vulnerabilidad crítica en la liquidez de la compañía. La razón simple presenta un comportamiento descendente, acentuándose a partir del ejercicio 2019, sugiriendo incapacidad técnica para cubrir obligaciones de corto plazo con activos corrientes. El flujo de capital actual parece destinarse exclusivamente a la gestión de pasivos exigibles, limitando la capacidad de reinversión y la generación de valor futuro. Asimismo, el apalancamiento financiero muestra un incremento marginal constante, indicando una dependencia del financiamiento externo. Por último, la rotación de activos totales ha declinado significativamente, reflejando una ineficiencia en el uso de la base de activos para la generación de ingresos operacionales.</w:t>
      </w:r>
    </w:p>
    <w:p w:rsidR="00000000" w:rsidDel="00000000" w:rsidP="00000000" w:rsidRDefault="00000000" w:rsidRPr="00000000" w14:paraId="00000039">
      <w:pPr>
        <w:rPr/>
      </w:pPr>
      <w:r w:rsidDel="00000000" w:rsidR="00000000" w:rsidRPr="00000000">
        <w:rPr>
          <w:b w:val="1"/>
          <w:bCs w:val="1"/>
          <w:u w:val="single"/>
          <w:rtl w:val="0"/>
        </w:rPr>
        <w:t xml:space="preserve">Razón 2</w:t>
      </w:r>
      <w:r w:rsidDel="00000000" w:rsidR="00000000" w:rsidRPr="00000000">
        <w:rPr>
          <w:b w:val="1"/>
          <w:bCs w:val="1"/>
          <w:rtl w:val="0"/>
        </w:rPr>
        <w:t xml:space="preserve">:</w:t>
      </w:r>
      <w:r w:rsidDel="00000000" w:rsidR="00000000" w:rsidRPr="00000000">
        <w:rPr>
          <w:rtl w:val="0"/>
        </w:rPr>
        <w:t xml:space="preserve"> El aumento en el periodo promedio de cobro revela deficiencias en la gestión de cuentas por cobrar. Esta falta de eficiencia en la recuperación de créditos impacta directamente en el margen ROS, el cual muestra valores preocupantes, especialmente desde 2020, periodo en el que los costos y gastos operativos han erosionado la utilidad neta. Estos resultados indican una pérdida de competitividad en el mercado sanitario. Adicionalmente, el desempeño operativo reflejado en el ROA y el ROE confirma pérdidas masivas y un castigo por parte del mercado. Investigaciones cualitativas sugieren que este declive se correlaciona con una percepción negativa sobre la calidad del servicio clínico, lo que ha provocado una migración de la base de clientes hacia instituciones competidoras.</w:t>
      </w:r>
    </w:p>
    <w:p w:rsidR="00000000" w:rsidDel="00000000" w:rsidP="00000000" w:rsidRDefault="00000000" w:rsidRPr="00000000" w14:paraId="0000003A">
      <w:pPr>
        <w:rPr/>
      </w:pPr>
      <w:r w:rsidDel="00000000" w:rsidR="00000000" w:rsidRPr="00000000">
        <w:rPr>
          <w:b w:val="1"/>
          <w:bCs w:val="1"/>
          <w:u w:val="single"/>
          <w:rtl w:val="0"/>
        </w:rPr>
        <w:t xml:space="preserve">Razón 3</w:t>
      </w:r>
      <w:r w:rsidDel="00000000" w:rsidR="00000000" w:rsidRPr="00000000">
        <w:rPr>
          <w:b w:val="1"/>
          <w:bCs w:val="1"/>
          <w:rtl w:val="0"/>
        </w:rPr>
        <w:t xml:space="preserve">:</w:t>
      </w:r>
      <w:r w:rsidDel="00000000" w:rsidR="00000000" w:rsidRPr="00000000">
        <w:rPr>
          <w:rtl w:val="0"/>
        </w:rPr>
        <w:t xml:space="preserve"> Finalmente, se observa un comportamiento anómalo entre los indicadores financieros y el valor bursátil. Mientras el ROE es decreciente, el precio de mercado de la acción ha mostrado incrementos, lo que podría atribuirse a la escasez de oferta en el sector de salud privada de alta complejidad en Chile. No obstante, la relación Bolsa/Libro es marcadamente descendente, demostrando que el mercado la valora por debajo de su patrimonio contable. Si bien los datos de 2025 sugieren una leve recuperación respecto a 2024, la institución sigue muy por debajo de sus estándares históricos de excelencia.</w:t>
      </w:r>
    </w:p>
    <w:p w:rsidR="00000000" w:rsidDel="00000000" w:rsidP="00000000" w:rsidRDefault="00000000" w:rsidRPr="00000000" w14:paraId="0000003B">
      <w:pPr>
        <w:pStyle w:val="Heading1"/>
        <w:numPr>
          <w:ilvl w:val="0"/>
          <w:numId w:val="2"/>
        </w:numPr>
        <w:rPr>
          <w:b w:val="1"/>
          <w:bCs w:val="1"/>
        </w:rPr>
      </w:pPr>
      <w:bookmarkStart w:colFirst="0" w:colLast="0" w:name="_3ckab63rqwyt" w:id="6"/>
      <w:bookmarkEnd w:id="6"/>
      <w:r w:rsidDel="00000000" w:rsidR="00000000" w:rsidRPr="00000000">
        <w:rPr>
          <w:rtl w:val="0"/>
        </w:rPr>
        <w:t xml:space="preserve">Estados financieros</w:t>
      </w:r>
    </w:p>
    <w:p w:rsidR="00000000" w:rsidDel="00000000" w:rsidP="00000000" w:rsidRDefault="00000000" w:rsidRPr="00000000" w14:paraId="0000003C">
      <w:pPr>
        <w:rPr/>
      </w:pPr>
      <w:r w:rsidDel="00000000" w:rsidR="00000000" w:rsidRPr="00000000">
        <w:rPr>
          <w:rtl w:val="0"/>
        </w:rPr>
        <w:t xml:space="preserve">La información presentada se obtuvo de los reportes anuales de la Comisión para el Mercado Financiero (</w:t>
      </w:r>
      <w:r w:rsidDel="00000000" w:rsidR="00000000" w:rsidRPr="00000000">
        <w:rPr>
          <w:rtl w:val="0"/>
        </w:rPr>
        <w:t xml:space="preserve">CLINICA</w:t>
      </w:r>
      <w:r w:rsidDel="00000000" w:rsidR="00000000" w:rsidRPr="00000000">
        <w:rPr>
          <w:rtl w:val="0"/>
        </w:rPr>
        <w:t xml:space="preserve"> LAS CONDES S.A. - Estados Financieros Filiales - CMF, s. f.). Asimismo, se implementó la base de datos mediante el uso de terminales financieras (Koyfin | Advanced Graphing And Analytical Tools For Investors, s. f.), lo que permitió estandarizar las cifras y generar las representaciones gráficas que se detallan a continuación:</w:t>
      </w:r>
    </w:p>
    <w:p w:rsidR="00000000" w:rsidDel="00000000" w:rsidP="00000000" w:rsidRDefault="00000000" w:rsidRPr="00000000" w14:paraId="0000003D">
      <w:pPr>
        <w:pStyle w:val="Heading2"/>
        <w:numPr>
          <w:ilvl w:val="1"/>
          <w:numId w:val="2"/>
        </w:numPr>
        <w:pBdr>
          <w:top w:space="0" w:sz="0" w:val="nil"/>
          <w:left w:space="0" w:sz="0" w:val="nil"/>
          <w:bottom w:space="0" w:sz="0" w:val="nil"/>
          <w:right w:space="0" w:sz="0" w:val="nil"/>
          <w:between w:space="0" w:sz="0" w:val="nil"/>
        </w:pBdr>
        <w:spacing w:after="200" w:before="200" w:line="276" w:lineRule="auto"/>
        <w:ind w:left="992.1259842519685" w:hanging="283.46456692913375"/>
        <w:rPr>
          <w:b w:val="1"/>
          <w:bCs w:val="1"/>
          <w:color w:val="1f1f1f"/>
        </w:rPr>
      </w:pPr>
      <w:bookmarkStart w:colFirst="0" w:colLast="0" w:name="_shv3mh9xppmf" w:id="7"/>
      <w:bookmarkEnd w:id="7"/>
      <w:r w:rsidDel="00000000" w:rsidR="00000000" w:rsidRPr="00000000">
        <w:rPr>
          <w:b w:val="1"/>
          <w:bCs w:val="1"/>
          <w:color w:val="1f1f1f"/>
          <w:sz w:val="22"/>
          <w:szCs w:val="22"/>
          <w:rtl w:val="0"/>
        </w:rPr>
        <w:t xml:space="preserve">Razón Simple: Cuadro y Gráfico de Evolución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Esta razón mide la capacidad de la empresa para cumplir con sus obligaciones de corto plazo utilizando sus activos corrientes. Su fórmula es: Activo Corriente / Pasivo Corriente. Un índice mayor a 1 sugiere una posición de liquidez favorable.</w:t>
      </w:r>
    </w:p>
    <w:tbl>
      <w:tblPr>
        <w:tblStyle w:val="Table1"/>
        <w:tblW w:w="9405.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4887946698971"/>
        <w:gridCol w:w="2893.9551786795882"/>
        <w:gridCol w:w="2893.9551786795882"/>
        <w:gridCol w:w="2893.9551786795882"/>
        <w:tblGridChange w:id="0">
          <w:tblGrid>
            <w:gridCol w:w="723.4887946698971"/>
            <w:gridCol w:w="2893.9551786795882"/>
            <w:gridCol w:w="2893.9551786795882"/>
            <w:gridCol w:w="2893.9551786795882"/>
          </w:tblGrid>
        </w:tblGridChange>
      </w:tblGrid>
      <w:tr>
        <w:trPr>
          <w:cantSplit w:val="0"/>
          <w:trHeight w:val="330" w:hRule="atLeast"/>
          <w:tblHeader w:val="0"/>
        </w:trPr>
        <w:tc>
          <w:tcPr>
            <w:gridSpan w:val="4"/>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Razón simple</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jc w:val="left"/>
              <w:rPr>
                <w:rFonts w:ascii="Arial" w:cs="Arial" w:eastAsia="Arial" w:hAnsi="Arial"/>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Activo Corriente 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Pasivo Corriente 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Razón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$120,612,834,000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$68,225,417,000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1.7679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$115,025,630,000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$97,973,676,000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1.1740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$143,068,232,000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$69,045,818,000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2.0721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$143,065,714,000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$60,011,235,000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2.3840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$143,966,552,000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$69,501,937,000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2.0714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$223,895,954,000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$128,581,605,000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1.7413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$177,168,134,000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$107,798,158,000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1.6435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$150,233,135,000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$91,925,467,000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1.6343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$101,985,979,000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$125,980,942,000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0.8095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$156,263,344,000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$191,830,923,000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0.8146</w:t>
            </w:r>
          </w:p>
        </w:tc>
      </w:tr>
    </w:tbl>
    <w:p w:rsidR="00000000" w:rsidDel="00000000" w:rsidP="00000000" w:rsidRDefault="00000000" w:rsidRPr="00000000" w14:paraId="0000006F">
      <w:pPr>
        <w:spacing w:before="200" w:line="276" w:lineRule="auto"/>
        <w:jc w:val="center"/>
        <w:rPr/>
      </w:pPr>
      <w:r w:rsidDel="00000000" w:rsidR="00000000" w:rsidRPr="00000000">
        <w:rPr>
          <w:rtl w:val="0"/>
        </w:rPr>
        <w:t xml:space="preserve">Figura 1.1. Evolución de la razón simple entre 2016-2025.</w:t>
      </w:r>
    </w:p>
    <w:p w:rsidR="00000000" w:rsidDel="00000000" w:rsidP="00000000" w:rsidRDefault="00000000" w:rsidRPr="00000000" w14:paraId="00000070">
      <w:pPr>
        <w:spacing w:after="200" w:before="200" w:lineRule="auto"/>
        <w:jc w:val="center"/>
        <w:rPr/>
      </w:pPr>
      <w:r w:rsidDel="00000000" w:rsidR="00000000" w:rsidRPr="00000000">
        <w:rPr/>
        <w:drawing>
          <wp:inline distB="114300" distT="114300" distL="114300" distR="114300">
            <wp:extent cx="4076700" cy="1993900"/>
            <wp:effectExtent b="0" l="0" r="0" t="0"/>
            <wp:docPr descr="Gráfico" id="2" name="image5.png"/>
            <a:graphic>
              <a:graphicData uri="http://schemas.openxmlformats.org/drawingml/2006/picture">
                <pic:pic>
                  <pic:nvPicPr>
                    <pic:cNvPr descr="Gráfico" id="0" name="image5.png"/>
                    <pic:cNvPicPr preferRelativeResize="0"/>
                  </pic:nvPicPr>
                  <pic:blipFill>
                    <a:blip r:embed="rId6"/>
                    <a:srcRect b="0" l="0" r="0" t="0"/>
                    <a:stretch>
                      <a:fillRect/>
                    </a:stretch>
                  </pic:blipFill>
                  <pic:spPr>
                    <a:xfrm>
                      <a:off x="0" y="0"/>
                      <a:ext cx="40767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jc w:val="center"/>
        <w:rPr/>
      </w:pPr>
      <w:r w:rsidDel="00000000" w:rsidR="00000000" w:rsidRPr="00000000">
        <w:rPr>
          <w:rtl w:val="0"/>
        </w:rPr>
        <w:t xml:space="preserve">Figura 1.1. Evolución de la razón simple entre 2016-2025.</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numPr>
          <w:ilvl w:val="1"/>
          <w:numId w:val="2"/>
        </w:numPr>
        <w:pBdr>
          <w:top w:space="0" w:sz="0" w:val="nil"/>
          <w:left w:space="0" w:sz="0" w:val="nil"/>
          <w:bottom w:space="0" w:sz="0" w:val="nil"/>
          <w:right w:space="0" w:sz="0" w:val="nil"/>
          <w:between w:space="0" w:sz="0" w:val="nil"/>
        </w:pBdr>
        <w:spacing w:after="200" w:before="200" w:line="276" w:lineRule="auto"/>
        <w:ind w:left="992.1259842519685" w:hanging="283.46456692913375"/>
        <w:rPr>
          <w:b w:val="1"/>
          <w:bCs w:val="1"/>
          <w:color w:val="1f1f1f"/>
        </w:rPr>
      </w:pPr>
      <w:bookmarkStart w:colFirst="0" w:colLast="0" w:name="_4snoghpp6i5d" w:id="8"/>
      <w:bookmarkEnd w:id="8"/>
      <w:r w:rsidDel="00000000" w:rsidR="00000000" w:rsidRPr="00000000">
        <w:rPr>
          <w:b w:val="1"/>
          <w:bCs w:val="1"/>
          <w:sz w:val="22"/>
          <w:szCs w:val="22"/>
          <w:rtl w:val="0"/>
        </w:rPr>
        <w:t xml:space="preserve">Endeudamiento sobre Activos Totales: Cuadro y Gráfico de Evolución</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Esta métrica evalúa el nivel de apalancamiento financiero de la empresa al comparar el financiamiento externo con sus recursos totales. Su fórmula es: Pasivo Total / Activo Total. Valores más altos indican una mayor dependencia de fuentes externas de financiamiento.</w:t>
      </w:r>
    </w:p>
    <w:tbl>
      <w:tblPr>
        <w:tblStyle w:val="Table2"/>
        <w:tblW w:w="9405.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4887946698971"/>
        <w:gridCol w:w="2893.9551786795882"/>
        <w:gridCol w:w="2893.9551786795882"/>
        <w:gridCol w:w="2893.9551786795882"/>
        <w:tblGridChange w:id="0">
          <w:tblGrid>
            <w:gridCol w:w="723.4887946698971"/>
            <w:gridCol w:w="2893.9551786795882"/>
            <w:gridCol w:w="2893.9551786795882"/>
            <w:gridCol w:w="2893.9551786795882"/>
          </w:tblGrid>
        </w:tblGridChange>
      </w:tblGrid>
      <w:tr>
        <w:trPr>
          <w:cantSplit w:val="0"/>
          <w:trHeight w:val="330" w:hRule="atLeast"/>
          <w:tblHeader w:val="0"/>
        </w:trPr>
        <w:tc>
          <w:tcPr>
            <w:gridSpan w:val="4"/>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Razón de endeudamiento en relación con el total de activos.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left"/>
              <w:rPr>
                <w:rFonts w:ascii="Arial" w:cs="Arial" w:eastAsia="Arial" w:hAnsi="Arial"/>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Pasivo 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Activo 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Razón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$216,112,587,000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$376,282,700,000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0.5743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$249,868,753,000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$402,607,963,000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0.6206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$274,311,854,000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$419,936,401,000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0.6532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$271,391,965,000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$419,430,654,000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0.6470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$307,025,318,000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$563,544,989,000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0.5448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$360,333,464,000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$628,384,119,000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0.5734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$313,307,768,000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$584,084,045,000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0.5364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$295,444,097,000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$562,519,196,000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0.5252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$335,180,657,000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$520,777,611,000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0.6436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$396,955,428,000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$586,300,694,000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0.6771</w:t>
            </w:r>
          </w:p>
        </w:tc>
      </w:tr>
    </w:tbl>
    <w:p w:rsidR="00000000" w:rsidDel="00000000" w:rsidP="00000000" w:rsidRDefault="00000000" w:rsidRPr="00000000" w14:paraId="000000A4">
      <w:pPr>
        <w:spacing w:before="200" w:line="276" w:lineRule="auto"/>
        <w:jc w:val="center"/>
        <w:rPr/>
      </w:pPr>
      <w:r w:rsidDel="00000000" w:rsidR="00000000" w:rsidRPr="00000000">
        <w:rPr>
          <w:rtl w:val="0"/>
        </w:rPr>
        <w:t xml:space="preserve">Figura 1.2. Evolución del endeudamiento sobre activos totales entre 2016-2025.</w:t>
      </w:r>
    </w:p>
    <w:p w:rsidR="00000000" w:rsidDel="00000000" w:rsidP="00000000" w:rsidRDefault="00000000" w:rsidRPr="00000000" w14:paraId="000000A5">
      <w:pPr>
        <w:spacing w:before="200" w:line="276" w:lineRule="auto"/>
        <w:jc w:val="center"/>
        <w:rPr/>
      </w:pPr>
      <w:r w:rsidDel="00000000" w:rsidR="00000000" w:rsidRPr="00000000">
        <w:rPr>
          <w:rtl w:val="0"/>
        </w:rPr>
      </w:r>
    </w:p>
    <w:p w:rsidR="00000000" w:rsidDel="00000000" w:rsidP="00000000" w:rsidRDefault="00000000" w:rsidRPr="00000000" w14:paraId="000000A6">
      <w:pPr>
        <w:spacing w:before="200" w:line="276" w:lineRule="auto"/>
        <w:jc w:val="center"/>
        <w:rPr/>
      </w:pPr>
      <w:r w:rsidDel="00000000" w:rsidR="00000000" w:rsidRPr="00000000">
        <w:rPr>
          <w:rtl w:val="0"/>
        </w:rPr>
      </w:r>
    </w:p>
    <w:p w:rsidR="00000000" w:rsidDel="00000000" w:rsidP="00000000" w:rsidRDefault="00000000" w:rsidRPr="00000000" w14:paraId="000000A7">
      <w:pPr>
        <w:spacing w:before="200" w:line="276" w:lineRule="auto"/>
        <w:jc w:val="left"/>
        <w:rPr/>
      </w:pPr>
      <w:r w:rsidDel="00000000" w:rsidR="00000000" w:rsidRPr="00000000">
        <w:rPr>
          <w:rtl w:val="0"/>
        </w:rPr>
      </w:r>
    </w:p>
    <w:p w:rsidR="00000000" w:rsidDel="00000000" w:rsidP="00000000" w:rsidRDefault="00000000" w:rsidRPr="00000000" w14:paraId="000000A8">
      <w:pPr>
        <w:spacing w:before="200" w:line="276" w:lineRule="auto"/>
        <w:jc w:val="left"/>
        <w:rPr/>
      </w:pPr>
      <w:r w:rsidDel="00000000" w:rsidR="00000000" w:rsidRPr="00000000">
        <w:rPr>
          <w:rtl w:val="0"/>
        </w:rPr>
      </w:r>
    </w:p>
    <w:p w:rsidR="00000000" w:rsidDel="00000000" w:rsidP="00000000" w:rsidRDefault="00000000" w:rsidRPr="00000000" w14:paraId="000000A9">
      <w:pPr>
        <w:spacing w:after="200" w:before="200" w:lineRule="auto"/>
        <w:jc w:val="center"/>
        <w:rPr/>
      </w:pPr>
      <w:r w:rsidDel="00000000" w:rsidR="00000000" w:rsidRPr="00000000">
        <w:rPr/>
        <w:drawing>
          <wp:inline distB="114300" distT="114300" distL="114300" distR="114300">
            <wp:extent cx="3891892" cy="2895600"/>
            <wp:effectExtent b="0" l="0" r="0" t="0"/>
            <wp:docPr descr="Gráfico" id="11" name="image11.png"/>
            <a:graphic>
              <a:graphicData uri="http://schemas.openxmlformats.org/drawingml/2006/picture">
                <pic:pic>
                  <pic:nvPicPr>
                    <pic:cNvPr descr="Gráfico" id="0" name="image11.png"/>
                    <pic:cNvPicPr preferRelativeResize="0"/>
                  </pic:nvPicPr>
                  <pic:blipFill>
                    <a:blip r:embed="rId7"/>
                    <a:srcRect b="0" l="0" r="0" t="0"/>
                    <a:stretch>
                      <a:fillRect/>
                    </a:stretch>
                  </pic:blipFill>
                  <pic:spPr>
                    <a:xfrm>
                      <a:off x="0" y="0"/>
                      <a:ext cx="3891892"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76" w:lineRule="auto"/>
        <w:jc w:val="center"/>
        <w:rPr>
          <w:sz w:val="18"/>
          <w:szCs w:val="18"/>
        </w:rPr>
      </w:pPr>
      <w:r w:rsidDel="00000000" w:rsidR="00000000" w:rsidRPr="00000000">
        <w:rPr>
          <w:sz w:val="18"/>
          <w:szCs w:val="18"/>
          <w:rtl w:val="0"/>
        </w:rPr>
        <w:t xml:space="preserve">Figura 1.2. Evolución del endeudamiento sobre activos totales entre 2016-2025.</w:t>
      </w:r>
    </w:p>
    <w:p w:rsidR="00000000" w:rsidDel="00000000" w:rsidP="00000000" w:rsidRDefault="00000000" w:rsidRPr="00000000" w14:paraId="000000AB">
      <w:pPr>
        <w:spacing w:line="276" w:lineRule="auto"/>
        <w:jc w:val="center"/>
        <w:rPr>
          <w:sz w:val="18"/>
          <w:szCs w:val="18"/>
        </w:rPr>
      </w:pPr>
      <w:r w:rsidDel="00000000" w:rsidR="00000000" w:rsidRPr="00000000">
        <w:rPr>
          <w:rtl w:val="0"/>
        </w:rPr>
      </w:r>
    </w:p>
    <w:p w:rsidR="00000000" w:rsidDel="00000000" w:rsidP="00000000" w:rsidRDefault="00000000" w:rsidRPr="00000000" w14:paraId="000000AC">
      <w:pPr>
        <w:spacing w:line="276" w:lineRule="auto"/>
        <w:jc w:val="center"/>
        <w:rPr>
          <w:sz w:val="18"/>
          <w:szCs w:val="18"/>
        </w:rPr>
      </w:pPr>
      <w:r w:rsidDel="00000000" w:rsidR="00000000" w:rsidRPr="00000000">
        <w:rPr>
          <w:rtl w:val="0"/>
        </w:rPr>
      </w:r>
    </w:p>
    <w:p w:rsidR="00000000" w:rsidDel="00000000" w:rsidP="00000000" w:rsidRDefault="00000000" w:rsidRPr="00000000" w14:paraId="000000AD">
      <w:pPr>
        <w:spacing w:line="276" w:lineRule="auto"/>
        <w:jc w:val="center"/>
        <w:rPr>
          <w:sz w:val="18"/>
          <w:szCs w:val="18"/>
        </w:rPr>
      </w:pPr>
      <w:r w:rsidDel="00000000" w:rsidR="00000000" w:rsidRPr="00000000">
        <w:rPr>
          <w:rtl w:val="0"/>
        </w:rPr>
      </w:r>
    </w:p>
    <w:p w:rsidR="00000000" w:rsidDel="00000000" w:rsidP="00000000" w:rsidRDefault="00000000" w:rsidRPr="00000000" w14:paraId="000000AE">
      <w:pPr>
        <w:spacing w:line="276" w:lineRule="auto"/>
        <w:jc w:val="center"/>
        <w:rPr>
          <w:sz w:val="18"/>
          <w:szCs w:val="18"/>
        </w:rPr>
      </w:pPr>
      <w:r w:rsidDel="00000000" w:rsidR="00000000" w:rsidRPr="00000000">
        <w:rPr>
          <w:rtl w:val="0"/>
        </w:rPr>
      </w:r>
    </w:p>
    <w:p w:rsidR="00000000" w:rsidDel="00000000" w:rsidP="00000000" w:rsidRDefault="00000000" w:rsidRPr="00000000" w14:paraId="000000AF">
      <w:pPr>
        <w:spacing w:line="276" w:lineRule="auto"/>
        <w:jc w:val="center"/>
        <w:rPr>
          <w:sz w:val="18"/>
          <w:szCs w:val="18"/>
        </w:rPr>
      </w:pPr>
      <w:r w:rsidDel="00000000" w:rsidR="00000000" w:rsidRPr="00000000">
        <w:rPr>
          <w:rtl w:val="0"/>
        </w:rPr>
      </w:r>
    </w:p>
    <w:p w:rsidR="00000000" w:rsidDel="00000000" w:rsidP="00000000" w:rsidRDefault="00000000" w:rsidRPr="00000000" w14:paraId="000000B0">
      <w:pPr>
        <w:spacing w:line="276" w:lineRule="auto"/>
        <w:jc w:val="center"/>
        <w:rPr>
          <w:sz w:val="18"/>
          <w:szCs w:val="18"/>
        </w:rPr>
      </w:pPr>
      <w:r w:rsidDel="00000000" w:rsidR="00000000" w:rsidRPr="00000000">
        <w:rPr>
          <w:rtl w:val="0"/>
        </w:rPr>
      </w:r>
    </w:p>
    <w:p w:rsidR="00000000" w:rsidDel="00000000" w:rsidP="00000000" w:rsidRDefault="00000000" w:rsidRPr="00000000" w14:paraId="000000B1">
      <w:pPr>
        <w:spacing w:line="276" w:lineRule="auto"/>
        <w:jc w:val="center"/>
        <w:rPr>
          <w:sz w:val="18"/>
          <w:szCs w:val="18"/>
        </w:rPr>
      </w:pPr>
      <w:r w:rsidDel="00000000" w:rsidR="00000000" w:rsidRPr="00000000">
        <w:rPr>
          <w:rtl w:val="0"/>
        </w:rPr>
      </w:r>
    </w:p>
    <w:p w:rsidR="00000000" w:rsidDel="00000000" w:rsidP="00000000" w:rsidRDefault="00000000" w:rsidRPr="00000000" w14:paraId="000000B2">
      <w:pPr>
        <w:spacing w:line="276" w:lineRule="auto"/>
        <w:jc w:val="center"/>
        <w:rPr>
          <w:sz w:val="18"/>
          <w:szCs w:val="18"/>
        </w:rPr>
      </w:pPr>
      <w:r w:rsidDel="00000000" w:rsidR="00000000" w:rsidRPr="00000000">
        <w:rPr>
          <w:rtl w:val="0"/>
        </w:rPr>
      </w:r>
    </w:p>
    <w:p w:rsidR="00000000" w:rsidDel="00000000" w:rsidP="00000000" w:rsidRDefault="00000000" w:rsidRPr="00000000" w14:paraId="000000B3">
      <w:pPr>
        <w:spacing w:line="276" w:lineRule="auto"/>
        <w:jc w:val="center"/>
        <w:rPr>
          <w:sz w:val="18"/>
          <w:szCs w:val="18"/>
        </w:rPr>
      </w:pPr>
      <w:r w:rsidDel="00000000" w:rsidR="00000000" w:rsidRPr="00000000">
        <w:rPr>
          <w:rtl w:val="0"/>
        </w:rPr>
      </w:r>
    </w:p>
    <w:p w:rsidR="00000000" w:rsidDel="00000000" w:rsidP="00000000" w:rsidRDefault="00000000" w:rsidRPr="00000000" w14:paraId="000000B4">
      <w:pPr>
        <w:spacing w:line="276" w:lineRule="auto"/>
        <w:jc w:val="center"/>
        <w:rPr>
          <w:sz w:val="18"/>
          <w:szCs w:val="18"/>
        </w:rPr>
      </w:pPr>
      <w:r w:rsidDel="00000000" w:rsidR="00000000" w:rsidRPr="00000000">
        <w:rPr>
          <w:rtl w:val="0"/>
        </w:rPr>
      </w:r>
    </w:p>
    <w:p w:rsidR="00000000" w:rsidDel="00000000" w:rsidP="00000000" w:rsidRDefault="00000000" w:rsidRPr="00000000" w14:paraId="000000B5">
      <w:pPr>
        <w:spacing w:line="276" w:lineRule="auto"/>
        <w:jc w:val="center"/>
        <w:rPr>
          <w:sz w:val="18"/>
          <w:szCs w:val="18"/>
        </w:rPr>
      </w:pPr>
      <w:r w:rsidDel="00000000" w:rsidR="00000000" w:rsidRPr="00000000">
        <w:rPr>
          <w:rtl w:val="0"/>
        </w:rPr>
      </w:r>
    </w:p>
    <w:p w:rsidR="00000000" w:rsidDel="00000000" w:rsidP="00000000" w:rsidRDefault="00000000" w:rsidRPr="00000000" w14:paraId="000000B6">
      <w:pPr>
        <w:spacing w:line="276" w:lineRule="auto"/>
        <w:jc w:val="center"/>
        <w:rPr>
          <w:sz w:val="18"/>
          <w:szCs w:val="18"/>
        </w:rPr>
      </w:pPr>
      <w:r w:rsidDel="00000000" w:rsidR="00000000" w:rsidRPr="00000000">
        <w:rPr>
          <w:rtl w:val="0"/>
        </w:rPr>
      </w:r>
    </w:p>
    <w:p w:rsidR="00000000" w:rsidDel="00000000" w:rsidP="00000000" w:rsidRDefault="00000000" w:rsidRPr="00000000" w14:paraId="000000B7">
      <w:pPr>
        <w:spacing w:line="276" w:lineRule="auto"/>
        <w:jc w:val="center"/>
        <w:rPr>
          <w:sz w:val="18"/>
          <w:szCs w:val="18"/>
        </w:rPr>
      </w:pPr>
      <w:r w:rsidDel="00000000" w:rsidR="00000000" w:rsidRPr="00000000">
        <w:rPr>
          <w:rtl w:val="0"/>
        </w:rPr>
      </w:r>
    </w:p>
    <w:p w:rsidR="00000000" w:rsidDel="00000000" w:rsidP="00000000" w:rsidRDefault="00000000" w:rsidRPr="00000000" w14:paraId="000000B8">
      <w:pPr>
        <w:spacing w:line="276" w:lineRule="auto"/>
        <w:jc w:val="center"/>
        <w:rPr>
          <w:sz w:val="18"/>
          <w:szCs w:val="18"/>
        </w:rPr>
      </w:pPr>
      <w:r w:rsidDel="00000000" w:rsidR="00000000" w:rsidRPr="00000000">
        <w:rPr>
          <w:rtl w:val="0"/>
        </w:rPr>
      </w:r>
    </w:p>
    <w:p w:rsidR="00000000" w:rsidDel="00000000" w:rsidP="00000000" w:rsidRDefault="00000000" w:rsidRPr="00000000" w14:paraId="000000B9">
      <w:pPr>
        <w:spacing w:line="276" w:lineRule="auto"/>
        <w:jc w:val="center"/>
        <w:rPr>
          <w:sz w:val="18"/>
          <w:szCs w:val="18"/>
        </w:rPr>
      </w:pPr>
      <w:r w:rsidDel="00000000" w:rsidR="00000000" w:rsidRPr="00000000">
        <w:rPr>
          <w:rtl w:val="0"/>
        </w:rPr>
      </w:r>
    </w:p>
    <w:p w:rsidR="00000000" w:rsidDel="00000000" w:rsidP="00000000" w:rsidRDefault="00000000" w:rsidRPr="00000000" w14:paraId="000000BA">
      <w:pPr>
        <w:spacing w:line="276" w:lineRule="auto"/>
        <w:jc w:val="center"/>
        <w:rPr>
          <w:sz w:val="18"/>
          <w:szCs w:val="18"/>
        </w:rPr>
      </w:pPr>
      <w:r w:rsidDel="00000000" w:rsidR="00000000" w:rsidRPr="00000000">
        <w:rPr>
          <w:rtl w:val="0"/>
        </w:rPr>
      </w:r>
    </w:p>
    <w:p w:rsidR="00000000" w:rsidDel="00000000" w:rsidP="00000000" w:rsidRDefault="00000000" w:rsidRPr="00000000" w14:paraId="000000BB">
      <w:pPr>
        <w:spacing w:line="276" w:lineRule="auto"/>
        <w:jc w:val="center"/>
        <w:rPr>
          <w:sz w:val="18"/>
          <w:szCs w:val="18"/>
        </w:rPr>
      </w:pPr>
      <w:r w:rsidDel="00000000" w:rsidR="00000000" w:rsidRPr="00000000">
        <w:rPr>
          <w:rtl w:val="0"/>
        </w:rPr>
      </w:r>
    </w:p>
    <w:p w:rsidR="00000000" w:rsidDel="00000000" w:rsidP="00000000" w:rsidRDefault="00000000" w:rsidRPr="00000000" w14:paraId="000000BC">
      <w:pPr>
        <w:spacing w:line="276" w:lineRule="auto"/>
        <w:jc w:val="center"/>
        <w:rPr>
          <w:sz w:val="18"/>
          <w:szCs w:val="18"/>
        </w:rPr>
      </w:pPr>
      <w:r w:rsidDel="00000000" w:rsidR="00000000" w:rsidRPr="00000000">
        <w:rPr>
          <w:rtl w:val="0"/>
        </w:rPr>
      </w:r>
    </w:p>
    <w:p w:rsidR="00000000" w:rsidDel="00000000" w:rsidP="00000000" w:rsidRDefault="00000000" w:rsidRPr="00000000" w14:paraId="000000BD">
      <w:pPr>
        <w:spacing w:line="276" w:lineRule="auto"/>
        <w:jc w:val="center"/>
        <w:rPr>
          <w:sz w:val="18"/>
          <w:szCs w:val="18"/>
        </w:rPr>
      </w:pPr>
      <w:r w:rsidDel="00000000" w:rsidR="00000000" w:rsidRPr="00000000">
        <w:rPr>
          <w:rtl w:val="0"/>
        </w:rPr>
      </w:r>
    </w:p>
    <w:p w:rsidR="00000000" w:rsidDel="00000000" w:rsidP="00000000" w:rsidRDefault="00000000" w:rsidRPr="00000000" w14:paraId="000000BE">
      <w:pPr>
        <w:spacing w:line="276" w:lineRule="auto"/>
        <w:jc w:val="center"/>
        <w:rPr>
          <w:sz w:val="18"/>
          <w:szCs w:val="18"/>
        </w:rPr>
      </w:pPr>
      <w:r w:rsidDel="00000000" w:rsidR="00000000" w:rsidRPr="00000000">
        <w:rPr>
          <w:rtl w:val="0"/>
        </w:rPr>
      </w:r>
    </w:p>
    <w:p w:rsidR="00000000" w:rsidDel="00000000" w:rsidP="00000000" w:rsidRDefault="00000000" w:rsidRPr="00000000" w14:paraId="000000BF">
      <w:pPr>
        <w:spacing w:line="276" w:lineRule="auto"/>
        <w:jc w:val="center"/>
        <w:rPr>
          <w:sz w:val="18"/>
          <w:szCs w:val="18"/>
        </w:rPr>
      </w:pPr>
      <w:r w:rsidDel="00000000" w:rsidR="00000000" w:rsidRPr="00000000">
        <w:rPr>
          <w:rtl w:val="0"/>
        </w:rPr>
      </w:r>
    </w:p>
    <w:p w:rsidR="00000000" w:rsidDel="00000000" w:rsidP="00000000" w:rsidRDefault="00000000" w:rsidRPr="00000000" w14:paraId="000000C0">
      <w:pPr>
        <w:spacing w:line="276" w:lineRule="auto"/>
        <w:jc w:val="center"/>
        <w:rPr>
          <w:sz w:val="18"/>
          <w:szCs w:val="18"/>
        </w:rPr>
      </w:pPr>
      <w:r w:rsidDel="00000000" w:rsidR="00000000" w:rsidRPr="00000000">
        <w:rPr>
          <w:rtl w:val="0"/>
        </w:rPr>
      </w:r>
    </w:p>
    <w:p w:rsidR="00000000" w:rsidDel="00000000" w:rsidP="00000000" w:rsidRDefault="00000000" w:rsidRPr="00000000" w14:paraId="000000C1">
      <w:pPr>
        <w:spacing w:line="276" w:lineRule="auto"/>
        <w:jc w:val="center"/>
        <w:rPr>
          <w:sz w:val="18"/>
          <w:szCs w:val="18"/>
        </w:rPr>
      </w:pPr>
      <w:r w:rsidDel="00000000" w:rsidR="00000000" w:rsidRPr="00000000">
        <w:rPr>
          <w:rtl w:val="0"/>
        </w:rPr>
      </w:r>
    </w:p>
    <w:p w:rsidR="00000000" w:rsidDel="00000000" w:rsidP="00000000" w:rsidRDefault="00000000" w:rsidRPr="00000000" w14:paraId="000000C2">
      <w:pPr>
        <w:spacing w:line="276" w:lineRule="auto"/>
        <w:jc w:val="center"/>
        <w:rPr>
          <w:sz w:val="18"/>
          <w:szCs w:val="18"/>
        </w:rPr>
      </w:pPr>
      <w:r w:rsidDel="00000000" w:rsidR="00000000" w:rsidRPr="00000000">
        <w:rPr>
          <w:rtl w:val="0"/>
        </w:rPr>
      </w:r>
    </w:p>
    <w:p w:rsidR="00000000" w:rsidDel="00000000" w:rsidP="00000000" w:rsidRDefault="00000000" w:rsidRPr="00000000" w14:paraId="000000C3">
      <w:pPr>
        <w:spacing w:line="276" w:lineRule="auto"/>
        <w:jc w:val="center"/>
        <w:rPr>
          <w:sz w:val="18"/>
          <w:szCs w:val="18"/>
        </w:rPr>
      </w:pPr>
      <w:r w:rsidDel="00000000" w:rsidR="00000000" w:rsidRPr="00000000">
        <w:rPr>
          <w:rtl w:val="0"/>
        </w:rPr>
      </w:r>
    </w:p>
    <w:p w:rsidR="00000000" w:rsidDel="00000000" w:rsidP="00000000" w:rsidRDefault="00000000" w:rsidRPr="00000000" w14:paraId="000000C4">
      <w:pPr>
        <w:spacing w:line="276" w:lineRule="auto"/>
        <w:jc w:val="left"/>
        <w:rPr>
          <w:sz w:val="18"/>
          <w:szCs w:val="18"/>
        </w:rPr>
      </w:pPr>
      <w:r w:rsidDel="00000000" w:rsidR="00000000" w:rsidRPr="00000000">
        <w:rPr>
          <w:rtl w:val="0"/>
        </w:rPr>
      </w:r>
    </w:p>
    <w:p w:rsidR="00000000" w:rsidDel="00000000" w:rsidP="00000000" w:rsidRDefault="00000000" w:rsidRPr="00000000" w14:paraId="000000C5">
      <w:pPr>
        <w:spacing w:line="276" w:lineRule="auto"/>
        <w:jc w:val="left"/>
        <w:rPr>
          <w:sz w:val="18"/>
          <w:szCs w:val="18"/>
        </w:rPr>
      </w:pPr>
      <w:r w:rsidDel="00000000" w:rsidR="00000000" w:rsidRPr="00000000">
        <w:rPr>
          <w:rtl w:val="0"/>
        </w:rPr>
      </w:r>
    </w:p>
    <w:p w:rsidR="00000000" w:rsidDel="00000000" w:rsidP="00000000" w:rsidRDefault="00000000" w:rsidRPr="00000000" w14:paraId="000000C6">
      <w:pPr>
        <w:pStyle w:val="Heading2"/>
        <w:numPr>
          <w:ilvl w:val="1"/>
          <w:numId w:val="2"/>
        </w:numPr>
        <w:pBdr>
          <w:top w:space="0" w:sz="0" w:val="nil"/>
          <w:left w:space="0" w:sz="0" w:val="nil"/>
          <w:bottom w:space="0" w:sz="0" w:val="nil"/>
          <w:right w:space="0" w:sz="0" w:val="nil"/>
          <w:between w:space="0" w:sz="0" w:val="nil"/>
        </w:pBdr>
        <w:spacing w:after="200" w:before="200" w:line="276" w:lineRule="auto"/>
        <w:ind w:left="992.1259842519685" w:hanging="283.46456692913375"/>
        <w:rPr>
          <w:b w:val="1"/>
          <w:bCs w:val="1"/>
          <w:color w:val="1f1f1f"/>
        </w:rPr>
      </w:pPr>
      <w:bookmarkStart w:colFirst="0" w:colLast="0" w:name="_m27rl26cel6" w:id="9"/>
      <w:bookmarkEnd w:id="9"/>
      <w:r w:rsidDel="00000000" w:rsidR="00000000" w:rsidRPr="00000000">
        <w:rPr>
          <w:b w:val="1"/>
          <w:bCs w:val="1"/>
          <w:sz w:val="22"/>
          <w:szCs w:val="22"/>
          <w:rtl w:val="0"/>
        </w:rPr>
        <w:t xml:space="preserve">Rotación del Activo Total: Cuadro y Gráfico de Evolución</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Este indicador mide la eficiencia con la que la empresa utiliza su base de activos para generar ingresos operacionales. Su fórmula es: Ingresos por Ventas / Activo Total.</w:t>
      </w:r>
    </w:p>
    <w:tbl>
      <w:tblPr>
        <w:tblStyle w:val="Table3"/>
        <w:tblW w:w="9405.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4887946698971"/>
        <w:gridCol w:w="2893.9551786795882"/>
        <w:gridCol w:w="2893.9551786795882"/>
        <w:gridCol w:w="2893.9551786795882"/>
        <w:tblGridChange w:id="0">
          <w:tblGrid>
            <w:gridCol w:w="723.4887946698971"/>
            <w:gridCol w:w="2893.9551786795882"/>
            <w:gridCol w:w="2893.9551786795882"/>
            <w:gridCol w:w="2893.9551786795882"/>
          </w:tblGrid>
        </w:tblGridChange>
      </w:tblGrid>
      <w:tr>
        <w:trPr>
          <w:cantSplit w:val="0"/>
          <w:trHeight w:val="330" w:hRule="atLeast"/>
          <w:tblHeader w:val="0"/>
        </w:trPr>
        <w:tc>
          <w:tcPr>
            <w:gridSpan w:val="4"/>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Rotación del activo total</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jc w:val="left"/>
              <w:rPr>
                <w:rFonts w:ascii="Arial" w:cs="Arial" w:eastAsia="Arial" w:hAnsi="Arial"/>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Ingresos por Ventas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Activo 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Razón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$196,472,531,000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$376,282,700,000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0.52214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$194,919,741,000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$402,607,963,000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0.48414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$219,400,041,000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$419,936,401,000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0.52246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$226,193,784,000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$419,430,654,000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0.53929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$212,266,060,000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$563,544,989,000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0.37666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$276,854,201,000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$628,384,119,000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0.44058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$259,992,081,000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$584,084,045,000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0.44513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$202,262,825,000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$562,519,196,000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0.35957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$153,388,122,000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$471,023,075,000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0.32565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$165,195,695,000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$650,295,006,000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0.25403</w:t>
            </w:r>
          </w:p>
        </w:tc>
      </w:tr>
    </w:tbl>
    <w:p w:rsidR="00000000" w:rsidDel="00000000" w:rsidP="00000000" w:rsidRDefault="00000000" w:rsidRPr="00000000" w14:paraId="000000F8">
      <w:pPr>
        <w:spacing w:before="200" w:line="276" w:lineRule="auto"/>
        <w:jc w:val="center"/>
        <w:rPr/>
      </w:pPr>
      <w:r w:rsidDel="00000000" w:rsidR="00000000" w:rsidRPr="00000000">
        <w:rPr>
          <w:rtl w:val="0"/>
        </w:rPr>
        <w:t xml:space="preserve">Figura 1.3. Evolución de la rotación del activo total entre 2016-2025.</w:t>
      </w:r>
    </w:p>
    <w:p w:rsidR="00000000" w:rsidDel="00000000" w:rsidP="00000000" w:rsidRDefault="00000000" w:rsidRPr="00000000" w14:paraId="000000F9">
      <w:pPr>
        <w:spacing w:before="200" w:line="276" w:lineRule="auto"/>
        <w:jc w:val="center"/>
        <w:rPr/>
      </w:pPr>
      <w:r w:rsidDel="00000000" w:rsidR="00000000" w:rsidRPr="00000000">
        <w:rPr>
          <w:rtl w:val="0"/>
        </w:rPr>
      </w:r>
    </w:p>
    <w:p w:rsidR="00000000" w:rsidDel="00000000" w:rsidP="00000000" w:rsidRDefault="00000000" w:rsidRPr="00000000" w14:paraId="000000FA">
      <w:pPr>
        <w:spacing w:before="200" w:line="276" w:lineRule="auto"/>
        <w:jc w:val="center"/>
        <w:rPr/>
      </w:pPr>
      <w:r w:rsidDel="00000000" w:rsidR="00000000" w:rsidRPr="00000000">
        <w:rPr>
          <w:rtl w:val="0"/>
        </w:rPr>
      </w:r>
    </w:p>
    <w:p w:rsidR="00000000" w:rsidDel="00000000" w:rsidP="00000000" w:rsidRDefault="00000000" w:rsidRPr="00000000" w14:paraId="000000FB">
      <w:pPr>
        <w:spacing w:before="200" w:line="276" w:lineRule="auto"/>
        <w:jc w:val="center"/>
        <w:rPr/>
      </w:pPr>
      <w:r w:rsidDel="00000000" w:rsidR="00000000" w:rsidRPr="00000000">
        <w:rPr>
          <w:rtl w:val="0"/>
        </w:rPr>
      </w:r>
    </w:p>
    <w:p w:rsidR="00000000" w:rsidDel="00000000" w:rsidP="00000000" w:rsidRDefault="00000000" w:rsidRPr="00000000" w14:paraId="000000FC">
      <w:pPr>
        <w:spacing w:before="200" w:line="276" w:lineRule="auto"/>
        <w:jc w:val="center"/>
        <w:rPr/>
      </w:pPr>
      <w:r w:rsidDel="00000000" w:rsidR="00000000" w:rsidRPr="00000000">
        <w:rPr>
          <w:rtl w:val="0"/>
        </w:rPr>
      </w:r>
    </w:p>
    <w:p w:rsidR="00000000" w:rsidDel="00000000" w:rsidP="00000000" w:rsidRDefault="00000000" w:rsidRPr="00000000" w14:paraId="000000FD">
      <w:pPr>
        <w:spacing w:before="200" w:line="276" w:lineRule="auto"/>
        <w:jc w:val="center"/>
        <w:rPr/>
      </w:pPr>
      <w:r w:rsidDel="00000000" w:rsidR="00000000" w:rsidRPr="00000000">
        <w:rPr>
          <w:rtl w:val="0"/>
        </w:rPr>
      </w:r>
    </w:p>
    <w:p w:rsidR="00000000" w:rsidDel="00000000" w:rsidP="00000000" w:rsidRDefault="00000000" w:rsidRPr="00000000" w14:paraId="000000FE">
      <w:pPr>
        <w:spacing w:before="200" w:line="276" w:lineRule="auto"/>
        <w:jc w:val="center"/>
        <w:rPr/>
      </w:pPr>
      <w:r w:rsidDel="00000000" w:rsidR="00000000" w:rsidRPr="00000000">
        <w:rPr>
          <w:rtl w:val="0"/>
        </w:rPr>
      </w:r>
    </w:p>
    <w:p w:rsidR="00000000" w:rsidDel="00000000" w:rsidP="00000000" w:rsidRDefault="00000000" w:rsidRPr="00000000" w14:paraId="000000FF">
      <w:pPr>
        <w:spacing w:before="200" w:line="276" w:lineRule="auto"/>
        <w:jc w:val="center"/>
        <w:rPr/>
      </w:pPr>
      <w:r w:rsidDel="00000000" w:rsidR="00000000" w:rsidRPr="00000000">
        <w:rPr>
          <w:rtl w:val="0"/>
        </w:rPr>
      </w:r>
    </w:p>
    <w:p w:rsidR="00000000" w:rsidDel="00000000" w:rsidP="00000000" w:rsidRDefault="00000000" w:rsidRPr="00000000" w14:paraId="00000100">
      <w:pPr>
        <w:spacing w:after="200" w:before="200" w:lineRule="auto"/>
        <w:jc w:val="center"/>
        <w:rPr/>
      </w:pPr>
      <w:r w:rsidDel="00000000" w:rsidR="00000000" w:rsidRPr="00000000">
        <w:rPr/>
        <w:drawing>
          <wp:inline distB="114300" distT="114300" distL="114300" distR="114300">
            <wp:extent cx="4408163" cy="2159000"/>
            <wp:effectExtent b="0" l="0" r="0" t="0"/>
            <wp:docPr descr="Gráfico" id="8" name="image4.png"/>
            <a:graphic>
              <a:graphicData uri="http://schemas.openxmlformats.org/drawingml/2006/picture">
                <pic:pic>
                  <pic:nvPicPr>
                    <pic:cNvPr descr="Gráfico" id="0" name="image4.png"/>
                    <pic:cNvPicPr preferRelativeResize="0"/>
                  </pic:nvPicPr>
                  <pic:blipFill>
                    <a:blip r:embed="rId8"/>
                    <a:srcRect b="0" l="0" r="0" t="0"/>
                    <a:stretch>
                      <a:fillRect/>
                    </a:stretch>
                  </pic:blipFill>
                  <pic:spPr>
                    <a:xfrm>
                      <a:off x="0" y="0"/>
                      <a:ext cx="4408163"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276" w:lineRule="auto"/>
        <w:jc w:val="center"/>
        <w:rPr/>
      </w:pPr>
      <w:r w:rsidDel="00000000" w:rsidR="00000000" w:rsidRPr="00000000">
        <w:rPr>
          <w:rtl w:val="0"/>
        </w:rPr>
        <w:t xml:space="preserve">Figura 1.3. Evolución de la rotación del activo total entre 2016-2025.</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numPr>
          <w:ilvl w:val="1"/>
          <w:numId w:val="2"/>
        </w:numPr>
        <w:pBdr>
          <w:top w:space="0" w:sz="0" w:val="nil"/>
          <w:left w:space="0" w:sz="0" w:val="nil"/>
          <w:bottom w:space="0" w:sz="0" w:val="nil"/>
          <w:right w:space="0" w:sz="0" w:val="nil"/>
          <w:between w:space="0" w:sz="0" w:val="nil"/>
        </w:pBdr>
        <w:spacing w:after="200" w:before="200" w:line="276" w:lineRule="auto"/>
        <w:ind w:left="992.1259842519685" w:hanging="283.46456692913375"/>
        <w:rPr>
          <w:b w:val="1"/>
          <w:bCs w:val="1"/>
          <w:color w:val="1f1f1f"/>
        </w:rPr>
      </w:pPr>
      <w:bookmarkStart w:colFirst="0" w:colLast="0" w:name="_o9wznohnjtm1" w:id="10"/>
      <w:bookmarkEnd w:id="10"/>
      <w:r w:rsidDel="00000000" w:rsidR="00000000" w:rsidRPr="00000000">
        <w:rPr>
          <w:b w:val="1"/>
          <w:bCs w:val="1"/>
          <w:sz w:val="22"/>
          <w:szCs w:val="22"/>
          <w:rtl w:val="0"/>
        </w:rPr>
        <w:t xml:space="preserve">Periodo Promedio de Cobro: Cuadro y Gráfico de Evolución</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Esta métrica estima el tiempo promedio, expresado en días, que la empresa requiere para recuperar sus cuentas por cobrar. Su fórmula es: (Deudores Comerciales / Ingresos por Ventas) * 365.</w:t>
      </w:r>
    </w:p>
    <w:tbl>
      <w:tblPr>
        <w:tblStyle w:val="Table4"/>
        <w:tblW w:w="9405.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4887946698971"/>
        <w:gridCol w:w="2893.9551786795882"/>
        <w:gridCol w:w="2893.9551786795882"/>
        <w:gridCol w:w="2893.9551786795882"/>
        <w:tblGridChange w:id="0">
          <w:tblGrid>
            <w:gridCol w:w="723.4887946698971"/>
            <w:gridCol w:w="2893.9551786795882"/>
            <w:gridCol w:w="2893.9551786795882"/>
            <w:gridCol w:w="2893.9551786795882"/>
          </w:tblGrid>
        </w:tblGridChange>
      </w:tblGrid>
      <w:tr>
        <w:trPr>
          <w:cantSplit w:val="0"/>
          <w:trHeight w:val="330" w:hRule="atLeast"/>
          <w:tblHeader w:val="0"/>
        </w:trPr>
        <w:tc>
          <w:tcPr>
            <w:gridSpan w:val="4"/>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Periodo promedio de cobro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left"/>
              <w:rPr>
                <w:rFonts w:ascii="Arial" w:cs="Arial" w:eastAsia="Arial" w:hAnsi="Arial"/>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0.0" w:type="dxa"/>
              <w:bottom w:w="40.0" w:type="dxa"/>
              <w:right w:w="0.0" w:type="dxa"/>
            </w:tcMar>
            <w:vAlign w:val="bottom"/>
          </w:tcPr>
          <w:p w:rsidR="00000000" w:rsidDel="00000000" w:rsidP="00000000" w:rsidRDefault="00000000" w:rsidRPr="00000000" w14:paraId="00000109">
            <w:pPr>
              <w:widowControl w:val="0"/>
              <w:spacing w:line="276" w:lineRule="auto"/>
              <w:ind w:left="-9400" w:right="-9400" w:firstLine="0"/>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Deudores Comerciales Corrientes</w:t>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Ingresos por Ventas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Razón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$95,101,170,000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$196,472,531,000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176.68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$86,907,050,000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$194,919,741,000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162.74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$96,848,001,000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$219,400,041,000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161.12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$104,429,254,000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$226,193,784,000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168.51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$107,431,829,000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$212,266,060,000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184.73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$175,066,059,000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$276,854,201,000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230.80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$135,782,305,000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$259,992,081,000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190.62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$124,381,503,000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$202,262,825,000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224.46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$26,008,773,000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$153,388,122,000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61.89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$59,986,473,000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$165,195,695,000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132.54</w:t>
            </w:r>
          </w:p>
        </w:tc>
      </w:tr>
    </w:tbl>
    <w:p w:rsidR="00000000" w:rsidDel="00000000" w:rsidP="00000000" w:rsidRDefault="00000000" w:rsidRPr="00000000" w14:paraId="00000134">
      <w:pPr>
        <w:spacing w:before="200" w:line="276" w:lineRule="auto"/>
        <w:jc w:val="center"/>
        <w:rPr/>
      </w:pPr>
      <w:r w:rsidDel="00000000" w:rsidR="00000000" w:rsidRPr="00000000">
        <w:rPr>
          <w:rtl w:val="0"/>
        </w:rPr>
        <w:t xml:space="preserve">Figura 1.4. Evolución del periodo promedio de cobro entre 2016-2025.</w:t>
      </w:r>
    </w:p>
    <w:p w:rsidR="00000000" w:rsidDel="00000000" w:rsidP="00000000" w:rsidRDefault="00000000" w:rsidRPr="00000000" w14:paraId="00000135">
      <w:pPr>
        <w:spacing w:before="200" w:line="276" w:lineRule="auto"/>
        <w:jc w:val="center"/>
        <w:rPr/>
      </w:pPr>
      <w:r w:rsidDel="00000000" w:rsidR="00000000" w:rsidRPr="00000000">
        <w:rPr>
          <w:rtl w:val="0"/>
        </w:rPr>
      </w:r>
    </w:p>
    <w:p w:rsidR="00000000" w:rsidDel="00000000" w:rsidP="00000000" w:rsidRDefault="00000000" w:rsidRPr="00000000" w14:paraId="00000136">
      <w:pPr>
        <w:spacing w:before="200" w:line="276" w:lineRule="auto"/>
        <w:jc w:val="center"/>
        <w:rPr/>
      </w:pPr>
      <w:r w:rsidDel="00000000" w:rsidR="00000000" w:rsidRPr="00000000">
        <w:rPr>
          <w:rtl w:val="0"/>
        </w:rPr>
      </w:r>
    </w:p>
    <w:p w:rsidR="00000000" w:rsidDel="00000000" w:rsidP="00000000" w:rsidRDefault="00000000" w:rsidRPr="00000000" w14:paraId="00000137">
      <w:pPr>
        <w:spacing w:before="200" w:line="276" w:lineRule="auto"/>
        <w:jc w:val="center"/>
        <w:rPr/>
      </w:pPr>
      <w:r w:rsidDel="00000000" w:rsidR="00000000" w:rsidRPr="00000000">
        <w:rPr>
          <w:rtl w:val="0"/>
        </w:rPr>
      </w:r>
    </w:p>
    <w:p w:rsidR="00000000" w:rsidDel="00000000" w:rsidP="00000000" w:rsidRDefault="00000000" w:rsidRPr="00000000" w14:paraId="00000138">
      <w:pPr>
        <w:spacing w:before="200" w:line="276" w:lineRule="auto"/>
        <w:jc w:val="center"/>
        <w:rPr/>
      </w:pPr>
      <w:r w:rsidDel="00000000" w:rsidR="00000000" w:rsidRPr="00000000">
        <w:rPr>
          <w:rtl w:val="0"/>
        </w:rPr>
      </w:r>
    </w:p>
    <w:p w:rsidR="00000000" w:rsidDel="00000000" w:rsidP="00000000" w:rsidRDefault="00000000" w:rsidRPr="00000000" w14:paraId="00000139">
      <w:pPr>
        <w:spacing w:before="200" w:line="276" w:lineRule="auto"/>
        <w:jc w:val="center"/>
        <w:rPr/>
      </w:pPr>
      <w:r w:rsidDel="00000000" w:rsidR="00000000" w:rsidRPr="00000000">
        <w:rPr>
          <w:rtl w:val="0"/>
        </w:rPr>
      </w:r>
    </w:p>
    <w:p w:rsidR="00000000" w:rsidDel="00000000" w:rsidP="00000000" w:rsidRDefault="00000000" w:rsidRPr="00000000" w14:paraId="0000013A">
      <w:pPr>
        <w:spacing w:before="200" w:line="276" w:lineRule="auto"/>
        <w:jc w:val="left"/>
        <w:rPr/>
      </w:pPr>
      <w:r w:rsidDel="00000000" w:rsidR="00000000" w:rsidRPr="00000000">
        <w:rPr>
          <w:rtl w:val="0"/>
        </w:rPr>
      </w:r>
    </w:p>
    <w:p w:rsidR="00000000" w:rsidDel="00000000" w:rsidP="00000000" w:rsidRDefault="00000000" w:rsidRPr="00000000" w14:paraId="0000013B">
      <w:pPr>
        <w:spacing w:before="200" w:line="276" w:lineRule="auto"/>
        <w:jc w:val="left"/>
        <w:rPr/>
      </w:pPr>
      <w:r w:rsidDel="00000000" w:rsidR="00000000" w:rsidRPr="00000000">
        <w:rPr>
          <w:rtl w:val="0"/>
        </w:rPr>
      </w:r>
    </w:p>
    <w:p w:rsidR="00000000" w:rsidDel="00000000" w:rsidP="00000000" w:rsidRDefault="00000000" w:rsidRPr="00000000" w14:paraId="0000013C">
      <w:pPr>
        <w:spacing w:after="200" w:before="200" w:lineRule="auto"/>
        <w:jc w:val="center"/>
        <w:rPr/>
      </w:pPr>
      <w:r w:rsidDel="00000000" w:rsidR="00000000" w:rsidRPr="00000000">
        <w:rPr/>
        <w:drawing>
          <wp:inline distB="114300" distT="114300" distL="114300" distR="114300">
            <wp:extent cx="4408163" cy="2159000"/>
            <wp:effectExtent b="0" l="0" r="0" t="0"/>
            <wp:docPr descr="Gráfico" id="12" name="image12.png"/>
            <a:graphic>
              <a:graphicData uri="http://schemas.openxmlformats.org/drawingml/2006/picture">
                <pic:pic>
                  <pic:nvPicPr>
                    <pic:cNvPr descr="Gráfico" id="0" name="image12.png"/>
                    <pic:cNvPicPr preferRelativeResize="0"/>
                  </pic:nvPicPr>
                  <pic:blipFill>
                    <a:blip r:embed="rId9"/>
                    <a:srcRect b="0" l="0" r="0" t="0"/>
                    <a:stretch>
                      <a:fillRect/>
                    </a:stretch>
                  </pic:blipFill>
                  <pic:spPr>
                    <a:xfrm>
                      <a:off x="0" y="0"/>
                      <a:ext cx="4408163"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276" w:lineRule="auto"/>
        <w:jc w:val="center"/>
        <w:rPr/>
      </w:pPr>
      <w:r w:rsidDel="00000000" w:rsidR="00000000" w:rsidRPr="00000000">
        <w:rPr>
          <w:rtl w:val="0"/>
        </w:rPr>
        <w:t xml:space="preserve">Figura 1.4. Evolución del periodo promedio de cobro entre 2016-2025.</w:t>
      </w: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2"/>
        <w:numPr>
          <w:ilvl w:val="1"/>
          <w:numId w:val="2"/>
        </w:numPr>
        <w:pBdr>
          <w:top w:space="0" w:sz="0" w:val="nil"/>
          <w:left w:space="0" w:sz="0" w:val="nil"/>
          <w:bottom w:space="0" w:sz="0" w:val="nil"/>
          <w:right w:space="0" w:sz="0" w:val="nil"/>
          <w:between w:space="0" w:sz="0" w:val="nil"/>
        </w:pBdr>
        <w:spacing w:after="200" w:before="200" w:line="276" w:lineRule="auto"/>
        <w:ind w:left="992.1259842519685" w:hanging="283.46456692913375"/>
        <w:rPr>
          <w:b w:val="1"/>
          <w:bCs w:val="1"/>
          <w:color w:val="1f1f1f"/>
        </w:rPr>
      </w:pPr>
      <w:bookmarkStart w:colFirst="0" w:colLast="0" w:name="_ywmjv9z4dsgw" w:id="11"/>
      <w:bookmarkEnd w:id="11"/>
      <w:r w:rsidDel="00000000" w:rsidR="00000000" w:rsidRPr="00000000">
        <w:rPr>
          <w:b w:val="1"/>
          <w:bCs w:val="1"/>
          <w:sz w:val="22"/>
          <w:szCs w:val="22"/>
          <w:rtl w:val="0"/>
        </w:rPr>
        <w:t xml:space="preserve">Rentabilidad de las Ventas (ROS): Cuadro y Gráfico de Evolución</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Este margen refleja la rentabilidad obtenida por cada unidad monetaria de venta, descontando todos los costos y gastos. Su fórmula es: Utilidad Neta / Ingresos por Ventas.</w:t>
      </w:r>
    </w:p>
    <w:tbl>
      <w:tblPr>
        <w:tblStyle w:val="Table5"/>
        <w:tblW w:w="9405.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4887946698971"/>
        <w:gridCol w:w="2893.9551786795882"/>
        <w:gridCol w:w="2893.9551786795882"/>
        <w:gridCol w:w="2893.9551786795882"/>
        <w:tblGridChange w:id="0">
          <w:tblGrid>
            <w:gridCol w:w="723.4887946698971"/>
            <w:gridCol w:w="2893.9551786795882"/>
            <w:gridCol w:w="2893.9551786795882"/>
            <w:gridCol w:w="2893.9551786795882"/>
          </w:tblGrid>
        </w:tblGridChange>
      </w:tblGrid>
      <w:tr>
        <w:trPr>
          <w:cantSplit w:val="0"/>
          <w:trHeight w:val="330" w:hRule="atLeast"/>
          <w:tblHeader w:val="0"/>
        </w:trPr>
        <w:tc>
          <w:tcPr>
            <w:gridSpan w:val="4"/>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Rentabilidad de las ventas (ROS)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left"/>
              <w:rPr>
                <w:rFonts w:ascii="Arial" w:cs="Arial" w:eastAsia="Arial" w:hAnsi="Arial"/>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Utilidad Neta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Ingresos por Ventas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Razón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$1,500,249,000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$196,472,531,000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0.0076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-$10,947,215,000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$194,919,741,000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-0.0562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$3,867,676,000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$219,400,041,000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0.0176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$4,653,578,000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$226,193,784,000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0.0206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-$5,812,168,000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$212,266,060,000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-0.0274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$18,416,371,000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$276,854,201,000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0.0665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$4,046,978,000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$259,992,081,000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0.0156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-$3,401,027,000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$202,262,825,000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-0.0168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-$107,720,634,000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$153,388,122,000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-0.7023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-$66,188,272,000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$165,195,695,000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-0.4007</w:t>
            </w:r>
          </w:p>
        </w:tc>
      </w:tr>
    </w:tbl>
    <w:p w:rsidR="00000000" w:rsidDel="00000000" w:rsidP="00000000" w:rsidRDefault="00000000" w:rsidRPr="00000000" w14:paraId="00000170">
      <w:pPr>
        <w:spacing w:before="200" w:line="276" w:lineRule="auto"/>
        <w:jc w:val="center"/>
        <w:rPr/>
      </w:pPr>
      <w:r w:rsidDel="00000000" w:rsidR="00000000" w:rsidRPr="00000000">
        <w:rPr>
          <w:rtl w:val="0"/>
        </w:rPr>
        <w:t xml:space="preserve">Figura 1.5. Evolución de la rentabilidad de las ventas (ROS) entre 2016-2025.</w:t>
      </w:r>
    </w:p>
    <w:p w:rsidR="00000000" w:rsidDel="00000000" w:rsidP="00000000" w:rsidRDefault="00000000" w:rsidRPr="00000000" w14:paraId="00000171">
      <w:pPr>
        <w:spacing w:before="200" w:line="276" w:lineRule="auto"/>
        <w:jc w:val="center"/>
        <w:rPr/>
      </w:pPr>
      <w:r w:rsidDel="00000000" w:rsidR="00000000" w:rsidRPr="00000000">
        <w:rPr>
          <w:rtl w:val="0"/>
        </w:rPr>
      </w:r>
    </w:p>
    <w:p w:rsidR="00000000" w:rsidDel="00000000" w:rsidP="00000000" w:rsidRDefault="00000000" w:rsidRPr="00000000" w14:paraId="00000172">
      <w:pPr>
        <w:spacing w:before="200" w:line="276" w:lineRule="auto"/>
        <w:jc w:val="center"/>
        <w:rPr/>
      </w:pPr>
      <w:r w:rsidDel="00000000" w:rsidR="00000000" w:rsidRPr="00000000">
        <w:rPr>
          <w:rtl w:val="0"/>
        </w:rPr>
      </w:r>
    </w:p>
    <w:p w:rsidR="00000000" w:rsidDel="00000000" w:rsidP="00000000" w:rsidRDefault="00000000" w:rsidRPr="00000000" w14:paraId="00000173">
      <w:pPr>
        <w:spacing w:before="200" w:line="276" w:lineRule="auto"/>
        <w:jc w:val="center"/>
        <w:rPr/>
      </w:pPr>
      <w:r w:rsidDel="00000000" w:rsidR="00000000" w:rsidRPr="00000000">
        <w:rPr>
          <w:rtl w:val="0"/>
        </w:rPr>
      </w:r>
    </w:p>
    <w:p w:rsidR="00000000" w:rsidDel="00000000" w:rsidP="00000000" w:rsidRDefault="00000000" w:rsidRPr="00000000" w14:paraId="00000174">
      <w:pPr>
        <w:spacing w:before="200" w:line="276" w:lineRule="auto"/>
        <w:jc w:val="center"/>
        <w:rPr/>
      </w:pPr>
      <w:r w:rsidDel="00000000" w:rsidR="00000000" w:rsidRPr="00000000">
        <w:rPr>
          <w:rtl w:val="0"/>
        </w:rPr>
      </w:r>
    </w:p>
    <w:p w:rsidR="00000000" w:rsidDel="00000000" w:rsidP="00000000" w:rsidRDefault="00000000" w:rsidRPr="00000000" w14:paraId="00000175">
      <w:pPr>
        <w:spacing w:before="200" w:line="276" w:lineRule="auto"/>
        <w:jc w:val="center"/>
        <w:rPr/>
      </w:pPr>
      <w:r w:rsidDel="00000000" w:rsidR="00000000" w:rsidRPr="00000000">
        <w:rPr>
          <w:rtl w:val="0"/>
        </w:rPr>
      </w:r>
    </w:p>
    <w:p w:rsidR="00000000" w:rsidDel="00000000" w:rsidP="00000000" w:rsidRDefault="00000000" w:rsidRPr="00000000" w14:paraId="00000176">
      <w:pPr>
        <w:spacing w:before="200" w:line="276" w:lineRule="auto"/>
        <w:jc w:val="center"/>
        <w:rPr/>
      </w:pPr>
      <w:r w:rsidDel="00000000" w:rsidR="00000000" w:rsidRPr="00000000">
        <w:rPr>
          <w:rtl w:val="0"/>
        </w:rPr>
      </w:r>
    </w:p>
    <w:p w:rsidR="00000000" w:rsidDel="00000000" w:rsidP="00000000" w:rsidRDefault="00000000" w:rsidRPr="00000000" w14:paraId="00000177">
      <w:pPr>
        <w:spacing w:before="200" w:line="276" w:lineRule="auto"/>
        <w:jc w:val="center"/>
        <w:rPr/>
      </w:pPr>
      <w:r w:rsidDel="00000000" w:rsidR="00000000" w:rsidRPr="00000000">
        <w:rPr>
          <w:rtl w:val="0"/>
        </w:rPr>
      </w:r>
    </w:p>
    <w:p w:rsidR="00000000" w:rsidDel="00000000" w:rsidP="00000000" w:rsidRDefault="00000000" w:rsidRPr="00000000" w14:paraId="00000178">
      <w:pPr>
        <w:spacing w:after="200" w:before="200" w:lineRule="auto"/>
        <w:jc w:val="center"/>
        <w:rPr/>
      </w:pPr>
      <w:r w:rsidDel="00000000" w:rsidR="00000000" w:rsidRPr="00000000">
        <w:rPr/>
        <w:drawing>
          <wp:inline distB="114300" distT="114300" distL="114300" distR="114300">
            <wp:extent cx="4700588" cy="2298700"/>
            <wp:effectExtent b="0" l="0" r="0" t="0"/>
            <wp:docPr descr="Gráfico" id="5" name="image7.png"/>
            <a:graphic>
              <a:graphicData uri="http://schemas.openxmlformats.org/drawingml/2006/picture">
                <pic:pic>
                  <pic:nvPicPr>
                    <pic:cNvPr descr="Gráfico" id="0" name="image7.png"/>
                    <pic:cNvPicPr preferRelativeResize="0"/>
                  </pic:nvPicPr>
                  <pic:blipFill>
                    <a:blip r:embed="rId10"/>
                    <a:srcRect b="0" l="0" r="0" t="0"/>
                    <a:stretch>
                      <a:fillRect/>
                    </a:stretch>
                  </pic:blipFill>
                  <pic:spPr>
                    <a:xfrm>
                      <a:off x="0" y="0"/>
                      <a:ext cx="4700588"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276" w:lineRule="auto"/>
        <w:jc w:val="center"/>
        <w:rPr/>
      </w:pPr>
      <w:r w:rsidDel="00000000" w:rsidR="00000000" w:rsidRPr="00000000">
        <w:rPr>
          <w:rtl w:val="0"/>
        </w:rPr>
        <w:t xml:space="preserve">Figura 1.5. Evolución de la rentabilidad de las ventas (ROS) entre 2016-2025.</w:t>
      </w: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2"/>
        <w:numPr>
          <w:ilvl w:val="1"/>
          <w:numId w:val="2"/>
        </w:numPr>
        <w:pBdr>
          <w:top w:space="0" w:sz="0" w:val="nil"/>
          <w:left w:space="0" w:sz="0" w:val="nil"/>
          <w:bottom w:space="0" w:sz="0" w:val="nil"/>
          <w:right w:space="0" w:sz="0" w:val="nil"/>
          <w:between w:space="0" w:sz="0" w:val="nil"/>
        </w:pBdr>
        <w:spacing w:after="200" w:before="200" w:line="276" w:lineRule="auto"/>
        <w:ind w:left="992.1259842519685" w:hanging="283.46456692913375"/>
        <w:rPr>
          <w:b w:val="1"/>
          <w:bCs w:val="1"/>
          <w:color w:val="1f1f1f"/>
        </w:rPr>
      </w:pPr>
      <w:bookmarkStart w:colFirst="0" w:colLast="0" w:name="_g0dkg1vlx0mm" w:id="12"/>
      <w:bookmarkEnd w:id="12"/>
      <w:r w:rsidDel="00000000" w:rsidR="00000000" w:rsidRPr="00000000">
        <w:rPr>
          <w:b w:val="1"/>
          <w:bCs w:val="1"/>
          <w:sz w:val="22"/>
          <w:szCs w:val="22"/>
          <w:rtl w:val="0"/>
        </w:rPr>
        <w:t xml:space="preserve">Rentabilidad de los Activos (ROA): Cuadro y Gráfico de Evolución</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Este ratio mide la eficiencia operativa al evaluar cuánto beneficio neto genera la empresa por cada unidad monetaria invertida en activos. Su fórmula es: Utilidad Neta / Activo Total.</w:t>
      </w:r>
    </w:p>
    <w:tbl>
      <w:tblPr>
        <w:tblStyle w:val="Table6"/>
        <w:tblW w:w="9405.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4887946698971"/>
        <w:gridCol w:w="2893.9551786795882"/>
        <w:gridCol w:w="2893.9551786795882"/>
        <w:gridCol w:w="2893.9551786795882"/>
        <w:tblGridChange w:id="0">
          <w:tblGrid>
            <w:gridCol w:w="723.4887946698971"/>
            <w:gridCol w:w="2893.9551786795882"/>
            <w:gridCol w:w="2893.9551786795882"/>
            <w:gridCol w:w="2893.9551786795882"/>
          </w:tblGrid>
        </w:tblGridChange>
      </w:tblGrid>
      <w:tr>
        <w:trPr>
          <w:cantSplit w:val="0"/>
          <w:trHeight w:val="330" w:hRule="atLeast"/>
          <w:tblHeader w:val="0"/>
        </w:trPr>
        <w:tc>
          <w:tcPr>
            <w:gridSpan w:val="4"/>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Rentabilidad de los activos (ROA)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left"/>
              <w:rPr>
                <w:rFonts w:ascii="Arial" w:cs="Arial" w:eastAsia="Arial" w:hAnsi="Arial"/>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Utilidad Neta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Activo 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Razón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$1,500,249,000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$376,282,700,000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0.003987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-$10,947,215,000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$402,607,963,000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-0.027191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$3,867,676,000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$419,936,401,000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0.009210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$4,653,578,000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$419,430,654,000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0.011095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-$5,812,168,000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$563,544,989,000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-0.010314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$18,416,371,000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$628,384,119,000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0.029308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$4,046,978,000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$584,084,045,000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0.006929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-$3,401,027,000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$562,519,196,000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-0.006046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-$107,720,634,000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$471,023,075,000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-0.228695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-$66,188,272,000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$650,295,006,000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-0.101782</w:t>
            </w:r>
          </w:p>
        </w:tc>
      </w:tr>
    </w:tbl>
    <w:p w:rsidR="00000000" w:rsidDel="00000000" w:rsidP="00000000" w:rsidRDefault="00000000" w:rsidRPr="00000000" w14:paraId="000001AC">
      <w:pPr>
        <w:spacing w:before="200" w:line="276" w:lineRule="auto"/>
        <w:jc w:val="center"/>
        <w:rPr/>
      </w:pPr>
      <w:r w:rsidDel="00000000" w:rsidR="00000000" w:rsidRPr="00000000">
        <w:rPr>
          <w:rtl w:val="0"/>
        </w:rPr>
        <w:t xml:space="preserve">Figura 1.6. Evolución de la rentabilidad de los activos (ROA) entre 2016-2025.</w:t>
      </w:r>
    </w:p>
    <w:p w:rsidR="00000000" w:rsidDel="00000000" w:rsidP="00000000" w:rsidRDefault="00000000" w:rsidRPr="00000000" w14:paraId="000001AD">
      <w:pPr>
        <w:spacing w:before="200" w:line="276" w:lineRule="auto"/>
        <w:jc w:val="center"/>
        <w:rPr/>
      </w:pPr>
      <w:r w:rsidDel="00000000" w:rsidR="00000000" w:rsidRPr="00000000">
        <w:rPr>
          <w:rtl w:val="0"/>
        </w:rPr>
      </w:r>
    </w:p>
    <w:p w:rsidR="00000000" w:rsidDel="00000000" w:rsidP="00000000" w:rsidRDefault="00000000" w:rsidRPr="00000000" w14:paraId="000001AE">
      <w:pPr>
        <w:spacing w:before="200" w:line="276" w:lineRule="auto"/>
        <w:jc w:val="center"/>
        <w:rPr/>
      </w:pPr>
      <w:r w:rsidDel="00000000" w:rsidR="00000000" w:rsidRPr="00000000">
        <w:rPr>
          <w:rtl w:val="0"/>
        </w:rPr>
      </w:r>
    </w:p>
    <w:p w:rsidR="00000000" w:rsidDel="00000000" w:rsidP="00000000" w:rsidRDefault="00000000" w:rsidRPr="00000000" w14:paraId="000001AF">
      <w:pPr>
        <w:spacing w:before="200" w:line="276" w:lineRule="auto"/>
        <w:jc w:val="center"/>
        <w:rPr/>
      </w:pPr>
      <w:r w:rsidDel="00000000" w:rsidR="00000000" w:rsidRPr="00000000">
        <w:rPr>
          <w:rtl w:val="0"/>
        </w:rPr>
      </w:r>
    </w:p>
    <w:p w:rsidR="00000000" w:rsidDel="00000000" w:rsidP="00000000" w:rsidRDefault="00000000" w:rsidRPr="00000000" w14:paraId="000001B0">
      <w:pPr>
        <w:spacing w:before="200" w:line="276" w:lineRule="auto"/>
        <w:jc w:val="center"/>
        <w:rPr/>
      </w:pPr>
      <w:r w:rsidDel="00000000" w:rsidR="00000000" w:rsidRPr="00000000">
        <w:rPr>
          <w:rtl w:val="0"/>
        </w:rPr>
      </w:r>
    </w:p>
    <w:p w:rsidR="00000000" w:rsidDel="00000000" w:rsidP="00000000" w:rsidRDefault="00000000" w:rsidRPr="00000000" w14:paraId="000001B1">
      <w:pPr>
        <w:spacing w:before="200" w:line="276" w:lineRule="auto"/>
        <w:jc w:val="center"/>
        <w:rPr/>
      </w:pPr>
      <w:r w:rsidDel="00000000" w:rsidR="00000000" w:rsidRPr="00000000">
        <w:rPr>
          <w:rtl w:val="0"/>
        </w:rPr>
      </w:r>
    </w:p>
    <w:p w:rsidR="00000000" w:rsidDel="00000000" w:rsidP="00000000" w:rsidRDefault="00000000" w:rsidRPr="00000000" w14:paraId="000001B2">
      <w:pPr>
        <w:spacing w:before="200" w:line="276" w:lineRule="auto"/>
        <w:jc w:val="center"/>
        <w:rPr/>
      </w:pPr>
      <w:r w:rsidDel="00000000" w:rsidR="00000000" w:rsidRPr="00000000">
        <w:rPr>
          <w:rtl w:val="0"/>
        </w:rPr>
      </w:r>
    </w:p>
    <w:p w:rsidR="00000000" w:rsidDel="00000000" w:rsidP="00000000" w:rsidRDefault="00000000" w:rsidRPr="00000000" w14:paraId="000001B3">
      <w:pPr>
        <w:spacing w:before="200" w:line="276" w:lineRule="auto"/>
        <w:jc w:val="center"/>
        <w:rPr/>
      </w:pPr>
      <w:r w:rsidDel="00000000" w:rsidR="00000000" w:rsidRPr="00000000">
        <w:rPr>
          <w:rtl w:val="0"/>
        </w:rPr>
      </w:r>
    </w:p>
    <w:p w:rsidR="00000000" w:rsidDel="00000000" w:rsidP="00000000" w:rsidRDefault="00000000" w:rsidRPr="00000000" w14:paraId="000001B4">
      <w:pPr>
        <w:spacing w:after="200" w:before="200" w:lineRule="auto"/>
        <w:jc w:val="center"/>
        <w:rPr/>
      </w:pPr>
      <w:r w:rsidDel="00000000" w:rsidR="00000000" w:rsidRPr="00000000">
        <w:rPr/>
        <w:drawing>
          <wp:inline distB="114300" distT="114300" distL="114300" distR="114300">
            <wp:extent cx="4408163" cy="2159000"/>
            <wp:effectExtent b="0" l="0" r="0" t="0"/>
            <wp:docPr descr="Gráfico" id="13" name="image10.png"/>
            <a:graphic>
              <a:graphicData uri="http://schemas.openxmlformats.org/drawingml/2006/picture">
                <pic:pic>
                  <pic:nvPicPr>
                    <pic:cNvPr descr="Gráfico" id="0" name="image10.png"/>
                    <pic:cNvPicPr preferRelativeResize="0"/>
                  </pic:nvPicPr>
                  <pic:blipFill>
                    <a:blip r:embed="rId11"/>
                    <a:srcRect b="0" l="0" r="0" t="0"/>
                    <a:stretch>
                      <a:fillRect/>
                    </a:stretch>
                  </pic:blipFill>
                  <pic:spPr>
                    <a:xfrm>
                      <a:off x="0" y="0"/>
                      <a:ext cx="4408163"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276" w:lineRule="auto"/>
        <w:jc w:val="center"/>
        <w:rPr/>
      </w:pPr>
      <w:r w:rsidDel="00000000" w:rsidR="00000000" w:rsidRPr="00000000">
        <w:rPr>
          <w:rtl w:val="0"/>
        </w:rPr>
        <w:t xml:space="preserve">Figura 1.6. Evolución de la rentabilidad de los activos (ROA) entre 2016-2025.</w:t>
      </w: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2"/>
        <w:numPr>
          <w:ilvl w:val="1"/>
          <w:numId w:val="2"/>
        </w:numPr>
        <w:pBdr>
          <w:top w:space="0" w:sz="0" w:val="nil"/>
          <w:left w:space="0" w:sz="0" w:val="nil"/>
          <w:bottom w:space="0" w:sz="0" w:val="nil"/>
          <w:right w:space="0" w:sz="0" w:val="nil"/>
          <w:between w:space="0" w:sz="0" w:val="nil"/>
        </w:pBdr>
        <w:spacing w:after="200" w:before="200" w:line="276" w:lineRule="auto"/>
        <w:ind w:left="992.1259842519685" w:hanging="283.46456692913375"/>
        <w:rPr>
          <w:b w:val="1"/>
          <w:bCs w:val="1"/>
          <w:color w:val="1f1f1f"/>
        </w:rPr>
      </w:pPr>
      <w:bookmarkStart w:colFirst="0" w:colLast="0" w:name="_g49vm4o8gzjg" w:id="13"/>
      <w:bookmarkEnd w:id="13"/>
      <w:r w:rsidDel="00000000" w:rsidR="00000000" w:rsidRPr="00000000">
        <w:rPr>
          <w:b w:val="1"/>
          <w:bCs w:val="1"/>
          <w:sz w:val="22"/>
          <w:szCs w:val="22"/>
          <w:rtl w:val="0"/>
        </w:rPr>
        <w:t xml:space="preserve">Rentabilidad del Patrimonio (ROE): Cuadro y Gráfico de Evolución</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Este indicador evalúa la rentabilidad final generada para los accionistas en relación con el capital propio invertido. Su fórmula es: Utilidad Neta / Patrimonio Total.</w:t>
      </w:r>
    </w:p>
    <w:tbl>
      <w:tblPr>
        <w:tblStyle w:val="Table7"/>
        <w:tblW w:w="9405.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4887946698971"/>
        <w:gridCol w:w="2893.9551786795882"/>
        <w:gridCol w:w="2893.9551786795882"/>
        <w:gridCol w:w="2893.9551786795882"/>
        <w:tblGridChange w:id="0">
          <w:tblGrid>
            <w:gridCol w:w="723.4887946698971"/>
            <w:gridCol w:w="2893.9551786795882"/>
            <w:gridCol w:w="2893.9551786795882"/>
            <w:gridCol w:w="2893.9551786795882"/>
          </w:tblGrid>
        </w:tblGridChange>
      </w:tblGrid>
      <w:tr>
        <w:trPr>
          <w:cantSplit w:val="0"/>
          <w:trHeight w:val="330" w:hRule="atLeast"/>
          <w:tblHeader w:val="0"/>
        </w:trPr>
        <w:tc>
          <w:tcPr>
            <w:gridSpan w:val="4"/>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Rentabilidad del patrimonio (ROE)</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jc w:val="left"/>
              <w:rPr>
                <w:rFonts w:ascii="Arial" w:cs="Arial" w:eastAsia="Arial" w:hAnsi="Arial"/>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Utilidad Neta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Patrimonio 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Razón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$1,500,249,000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$160,170,113,000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-$10,947,215,000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$152,739,210,000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$3,867,676,000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$145,624,547,000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$4,653,578,000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$148,038,689,000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-$5,812,168,000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$256,519,671,000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$18,416,371,000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$268,050,655,000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$4,046,978,000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$270,776,277,000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-$3,401,027,000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$267,075,099,000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-$107,720,634,000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$136,587,173,000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-0.79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-$66,188,272,000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$194,509,032,000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-0.34</w:t>
            </w:r>
          </w:p>
        </w:tc>
      </w:tr>
    </w:tbl>
    <w:p w:rsidR="00000000" w:rsidDel="00000000" w:rsidP="00000000" w:rsidRDefault="00000000" w:rsidRPr="00000000" w14:paraId="000001E8">
      <w:pPr>
        <w:spacing w:before="200" w:line="276" w:lineRule="auto"/>
        <w:jc w:val="center"/>
        <w:rPr/>
      </w:pPr>
      <w:r w:rsidDel="00000000" w:rsidR="00000000" w:rsidRPr="00000000">
        <w:rPr>
          <w:rtl w:val="0"/>
        </w:rPr>
        <w:t xml:space="preserve">Figura 1.7. Evolución de la rentabilidad del patrimonio (ROE) entre 2016-2025.</w:t>
      </w:r>
    </w:p>
    <w:p w:rsidR="00000000" w:rsidDel="00000000" w:rsidP="00000000" w:rsidRDefault="00000000" w:rsidRPr="00000000" w14:paraId="000001E9">
      <w:pPr>
        <w:spacing w:before="200" w:line="276" w:lineRule="auto"/>
        <w:jc w:val="center"/>
        <w:rPr/>
      </w:pPr>
      <w:r w:rsidDel="00000000" w:rsidR="00000000" w:rsidRPr="00000000">
        <w:rPr>
          <w:rtl w:val="0"/>
        </w:rPr>
      </w:r>
    </w:p>
    <w:p w:rsidR="00000000" w:rsidDel="00000000" w:rsidP="00000000" w:rsidRDefault="00000000" w:rsidRPr="00000000" w14:paraId="000001EA">
      <w:pPr>
        <w:spacing w:before="200" w:line="276" w:lineRule="auto"/>
        <w:jc w:val="center"/>
        <w:rPr/>
      </w:pPr>
      <w:r w:rsidDel="00000000" w:rsidR="00000000" w:rsidRPr="00000000">
        <w:rPr>
          <w:rtl w:val="0"/>
        </w:rPr>
      </w:r>
    </w:p>
    <w:p w:rsidR="00000000" w:rsidDel="00000000" w:rsidP="00000000" w:rsidRDefault="00000000" w:rsidRPr="00000000" w14:paraId="000001EB">
      <w:pPr>
        <w:spacing w:before="200" w:line="276" w:lineRule="auto"/>
        <w:jc w:val="center"/>
        <w:rPr/>
      </w:pPr>
      <w:r w:rsidDel="00000000" w:rsidR="00000000" w:rsidRPr="00000000">
        <w:rPr>
          <w:rtl w:val="0"/>
        </w:rPr>
      </w:r>
    </w:p>
    <w:p w:rsidR="00000000" w:rsidDel="00000000" w:rsidP="00000000" w:rsidRDefault="00000000" w:rsidRPr="00000000" w14:paraId="000001EC">
      <w:pPr>
        <w:spacing w:before="200" w:line="276" w:lineRule="auto"/>
        <w:jc w:val="center"/>
        <w:rPr/>
      </w:pPr>
      <w:r w:rsidDel="00000000" w:rsidR="00000000" w:rsidRPr="00000000">
        <w:rPr>
          <w:rtl w:val="0"/>
        </w:rPr>
      </w:r>
    </w:p>
    <w:p w:rsidR="00000000" w:rsidDel="00000000" w:rsidP="00000000" w:rsidRDefault="00000000" w:rsidRPr="00000000" w14:paraId="000001ED">
      <w:pPr>
        <w:spacing w:before="200" w:line="276" w:lineRule="auto"/>
        <w:jc w:val="center"/>
        <w:rPr/>
      </w:pPr>
      <w:r w:rsidDel="00000000" w:rsidR="00000000" w:rsidRPr="00000000">
        <w:rPr>
          <w:rtl w:val="0"/>
        </w:rPr>
      </w:r>
    </w:p>
    <w:p w:rsidR="00000000" w:rsidDel="00000000" w:rsidP="00000000" w:rsidRDefault="00000000" w:rsidRPr="00000000" w14:paraId="000001EE">
      <w:pPr>
        <w:spacing w:before="200" w:line="276" w:lineRule="auto"/>
        <w:jc w:val="center"/>
        <w:rPr/>
      </w:pPr>
      <w:r w:rsidDel="00000000" w:rsidR="00000000" w:rsidRPr="00000000">
        <w:rPr>
          <w:rtl w:val="0"/>
        </w:rPr>
      </w:r>
    </w:p>
    <w:p w:rsidR="00000000" w:rsidDel="00000000" w:rsidP="00000000" w:rsidRDefault="00000000" w:rsidRPr="00000000" w14:paraId="000001EF">
      <w:pPr>
        <w:spacing w:before="200" w:line="276" w:lineRule="auto"/>
        <w:jc w:val="center"/>
        <w:rPr/>
      </w:pPr>
      <w:r w:rsidDel="00000000" w:rsidR="00000000" w:rsidRPr="00000000">
        <w:rPr>
          <w:rtl w:val="0"/>
        </w:rPr>
      </w:r>
    </w:p>
    <w:p w:rsidR="00000000" w:rsidDel="00000000" w:rsidP="00000000" w:rsidRDefault="00000000" w:rsidRPr="00000000" w14:paraId="000001F0">
      <w:pPr>
        <w:spacing w:after="200" w:before="200" w:lineRule="auto"/>
        <w:jc w:val="center"/>
        <w:rPr/>
      </w:pPr>
      <w:r w:rsidDel="00000000" w:rsidR="00000000" w:rsidRPr="00000000">
        <w:rPr/>
        <w:drawing>
          <wp:inline distB="114300" distT="114300" distL="114300" distR="114300">
            <wp:extent cx="4408163" cy="2159000"/>
            <wp:effectExtent b="0" l="0" r="0" t="0"/>
            <wp:docPr descr="Gráfico" id="4" name="image6.png"/>
            <a:graphic>
              <a:graphicData uri="http://schemas.openxmlformats.org/drawingml/2006/picture">
                <pic:pic>
                  <pic:nvPicPr>
                    <pic:cNvPr descr="Gráfico" id="0" name="image6.png"/>
                    <pic:cNvPicPr preferRelativeResize="0"/>
                  </pic:nvPicPr>
                  <pic:blipFill>
                    <a:blip r:embed="rId12"/>
                    <a:srcRect b="0" l="0" r="0" t="0"/>
                    <a:stretch>
                      <a:fillRect/>
                    </a:stretch>
                  </pic:blipFill>
                  <pic:spPr>
                    <a:xfrm>
                      <a:off x="0" y="0"/>
                      <a:ext cx="4408163"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276" w:lineRule="auto"/>
        <w:jc w:val="center"/>
        <w:rPr/>
      </w:pPr>
      <w:r w:rsidDel="00000000" w:rsidR="00000000" w:rsidRPr="00000000">
        <w:rPr>
          <w:rtl w:val="0"/>
        </w:rPr>
        <w:t xml:space="preserve">Figura 1.7. Evolución de la rentabilidad del patrimonio (ROE) entre 2016-2025.</w:t>
      </w: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2"/>
        <w:numPr>
          <w:ilvl w:val="1"/>
          <w:numId w:val="2"/>
        </w:numPr>
        <w:pBdr>
          <w:top w:space="0" w:sz="0" w:val="nil"/>
          <w:left w:space="0" w:sz="0" w:val="nil"/>
          <w:bottom w:space="0" w:sz="0" w:val="nil"/>
          <w:right w:space="0" w:sz="0" w:val="nil"/>
          <w:between w:space="0" w:sz="0" w:val="nil"/>
        </w:pBdr>
        <w:spacing w:after="200" w:before="200" w:line="276" w:lineRule="auto"/>
        <w:ind w:left="992.1259842519685" w:hanging="283.46456692913375"/>
        <w:rPr>
          <w:b w:val="1"/>
          <w:bCs w:val="1"/>
          <w:color w:val="1f1f1f"/>
        </w:rPr>
      </w:pPr>
      <w:bookmarkStart w:colFirst="0" w:colLast="0" w:name="_lawrphx4xs5d" w:id="14"/>
      <w:bookmarkEnd w:id="14"/>
      <w:r w:rsidDel="00000000" w:rsidR="00000000" w:rsidRPr="00000000">
        <w:rPr>
          <w:b w:val="1"/>
          <w:bCs w:val="1"/>
          <w:sz w:val="22"/>
          <w:szCs w:val="22"/>
          <w:rtl w:val="0"/>
        </w:rPr>
        <w:t xml:space="preserve">Precio de Mercado de la Acción al Inicio del Año: Cuadro y Gráfico de Evolución</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Este dato registra el valor bursátil de la acción al inicio del año, reflejando las expectativas del mercado y la percepción de valor de la compañía por parte de los inversionistas.</w:t>
      </w:r>
    </w:p>
    <w:tbl>
      <w:tblPr>
        <w:tblStyle w:val="Table8"/>
        <w:tblW w:w="94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8680"/>
        <w:gridCol w:w="3"/>
        <w:gridCol w:w="3"/>
        <w:tblGridChange w:id="0">
          <w:tblGrid>
            <w:gridCol w:w="720"/>
            <w:gridCol w:w="8680"/>
            <w:gridCol w:w="3"/>
            <w:gridCol w:w="3"/>
          </w:tblGrid>
        </w:tblGridChange>
      </w:tblGrid>
      <w:tr>
        <w:trPr>
          <w:cantSplit w:val="0"/>
          <w:trHeight w:val="345" w:hRule="atLeast"/>
          <w:tblHeader w:val="0"/>
        </w:trPr>
        <w:tc>
          <w:tcPr>
            <w:gridSpan w:val="4"/>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Precio de mercado de la acción al inicio de cada año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2016</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$35,245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2017</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$11,101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2018</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$14,500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2019</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$12,707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2020</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$18,136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2021</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$25,000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2022</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$31,851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$37,487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$34,200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2025</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$35,747</w:t>
            </w:r>
          </w:p>
        </w:tc>
      </w:tr>
    </w:tbl>
    <w:p w:rsidR="00000000" w:rsidDel="00000000" w:rsidP="00000000" w:rsidRDefault="00000000" w:rsidRPr="00000000" w14:paraId="00000220">
      <w:pPr>
        <w:spacing w:before="200" w:line="276" w:lineRule="auto"/>
        <w:jc w:val="center"/>
        <w:rPr/>
      </w:pPr>
      <w:r w:rsidDel="00000000" w:rsidR="00000000" w:rsidRPr="00000000">
        <w:rPr>
          <w:rtl w:val="0"/>
        </w:rPr>
        <w:t xml:space="preserve">Figura 1.8. Evolución del precio de mercado de la acción entre 2016-2025.</w:t>
      </w:r>
    </w:p>
    <w:p w:rsidR="00000000" w:rsidDel="00000000" w:rsidP="00000000" w:rsidRDefault="00000000" w:rsidRPr="00000000" w14:paraId="00000221">
      <w:pPr>
        <w:spacing w:after="200" w:before="200" w:lineRule="auto"/>
        <w:rPr/>
      </w:pPr>
      <w:r w:rsidDel="00000000" w:rsidR="00000000" w:rsidRPr="00000000">
        <w:rPr>
          <w:rtl w:val="0"/>
        </w:rPr>
      </w:r>
    </w:p>
    <w:p w:rsidR="00000000" w:rsidDel="00000000" w:rsidP="00000000" w:rsidRDefault="00000000" w:rsidRPr="00000000" w14:paraId="00000222">
      <w:pPr>
        <w:spacing w:after="200" w:before="200" w:lineRule="auto"/>
        <w:rPr/>
      </w:pPr>
      <w:r w:rsidDel="00000000" w:rsidR="00000000" w:rsidRPr="00000000">
        <w:rPr>
          <w:rtl w:val="0"/>
        </w:rPr>
      </w:r>
    </w:p>
    <w:p w:rsidR="00000000" w:rsidDel="00000000" w:rsidP="00000000" w:rsidRDefault="00000000" w:rsidRPr="00000000" w14:paraId="00000223">
      <w:pPr>
        <w:spacing w:after="200" w:before="200" w:lineRule="auto"/>
        <w:rPr/>
      </w:pPr>
      <w:r w:rsidDel="00000000" w:rsidR="00000000" w:rsidRPr="00000000">
        <w:rPr>
          <w:rtl w:val="0"/>
        </w:rPr>
      </w:r>
    </w:p>
    <w:p w:rsidR="00000000" w:rsidDel="00000000" w:rsidP="00000000" w:rsidRDefault="00000000" w:rsidRPr="00000000" w14:paraId="00000224">
      <w:pPr>
        <w:spacing w:after="200" w:before="200" w:lineRule="auto"/>
        <w:rPr/>
      </w:pPr>
      <w:r w:rsidDel="00000000" w:rsidR="00000000" w:rsidRPr="00000000">
        <w:rPr>
          <w:rtl w:val="0"/>
        </w:rPr>
      </w:r>
    </w:p>
    <w:p w:rsidR="00000000" w:rsidDel="00000000" w:rsidP="00000000" w:rsidRDefault="00000000" w:rsidRPr="00000000" w14:paraId="00000225">
      <w:pPr>
        <w:spacing w:before="200" w:lineRule="auto"/>
        <w:jc w:val="center"/>
        <w:rPr/>
      </w:pPr>
      <w:r w:rsidDel="00000000" w:rsidR="00000000" w:rsidRPr="00000000">
        <w:rPr/>
        <w:drawing>
          <wp:inline distB="114300" distT="114300" distL="114300" distR="114300">
            <wp:extent cx="4235294" cy="2882900"/>
            <wp:effectExtent b="0" l="0" r="0" t="0"/>
            <wp:docPr descr="Gráfico" id="6" name="image13.png"/>
            <a:graphic>
              <a:graphicData uri="http://schemas.openxmlformats.org/drawingml/2006/picture">
                <pic:pic>
                  <pic:nvPicPr>
                    <pic:cNvPr descr="Gráfico" id="0" name="image13.png"/>
                    <pic:cNvPicPr preferRelativeResize="0"/>
                  </pic:nvPicPr>
                  <pic:blipFill>
                    <a:blip r:embed="rId13"/>
                    <a:srcRect b="0" l="0" r="0" t="0"/>
                    <a:stretch>
                      <a:fillRect/>
                    </a:stretch>
                  </pic:blipFill>
                  <pic:spPr>
                    <a:xfrm>
                      <a:off x="0" y="0"/>
                      <a:ext cx="4235294"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276" w:lineRule="auto"/>
        <w:jc w:val="center"/>
        <w:rPr/>
      </w:pPr>
      <w:r w:rsidDel="00000000" w:rsidR="00000000" w:rsidRPr="00000000">
        <w:rPr>
          <w:rtl w:val="0"/>
        </w:rPr>
        <w:t xml:space="preserve">Figura 1.8. Evolución del precio de mercado de la acción entre 2016-2025.</w:t>
      </w: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2"/>
        <w:numPr>
          <w:ilvl w:val="1"/>
          <w:numId w:val="2"/>
        </w:numPr>
        <w:pBdr>
          <w:top w:space="0" w:sz="0" w:val="nil"/>
          <w:left w:space="0" w:sz="0" w:val="nil"/>
          <w:bottom w:space="0" w:sz="0" w:val="nil"/>
          <w:right w:space="0" w:sz="0" w:val="nil"/>
          <w:between w:space="0" w:sz="0" w:val="nil"/>
        </w:pBdr>
        <w:spacing w:after="200" w:before="200" w:line="276" w:lineRule="auto"/>
        <w:ind w:left="992.1259842519685" w:hanging="283.46456692913375"/>
        <w:rPr>
          <w:b w:val="1"/>
          <w:bCs w:val="1"/>
          <w:color w:val="1f1f1f"/>
        </w:rPr>
      </w:pPr>
      <w:bookmarkStart w:colFirst="0" w:colLast="0" w:name="_xcglpz9ncosh" w:id="15"/>
      <w:bookmarkEnd w:id="15"/>
      <w:r w:rsidDel="00000000" w:rsidR="00000000" w:rsidRPr="00000000">
        <w:rPr>
          <w:b w:val="1"/>
          <w:bCs w:val="1"/>
          <w:sz w:val="22"/>
          <w:szCs w:val="22"/>
          <w:rtl w:val="0"/>
        </w:rPr>
        <w:t xml:space="preserve">Relación Bolsa/Libro: Cuadro y Gráfico de Evolución</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Esta relación compara el valor de mercado de la empresa con su valor contable en libros, indicando si los inversionistas valoran la empresa por encima o por debajo de su valor patrimonial. Su fórmula es: Precio de Mercado / Valor Libro por Acción.</w:t>
      </w:r>
    </w:p>
    <w:tbl>
      <w:tblPr>
        <w:tblStyle w:val="Table9"/>
        <w:tblW w:w="94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4887946698971"/>
        <w:gridCol w:w="8681.865536038764"/>
        <w:gridCol w:w="1"/>
        <w:gridCol w:w="1"/>
        <w:tblGridChange w:id="0">
          <w:tblGrid>
            <w:gridCol w:w="723.4887946698971"/>
            <w:gridCol w:w="8681.865536038764"/>
            <w:gridCol w:w="1"/>
            <w:gridCol w:w="1"/>
          </w:tblGrid>
        </w:tblGridChange>
      </w:tblGrid>
      <w:tr>
        <w:trPr>
          <w:cantSplit w:val="0"/>
          <w:trHeight w:val="345" w:hRule="atLeast"/>
          <w:tblHeader w:val="0"/>
        </w:trPr>
        <w:tc>
          <w:tcPr>
            <w:gridSpan w:val="4"/>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Relación bolsa/libro</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2016</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2017</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2018</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2019</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2020</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2021</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2022</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2023</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2024</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2025</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r>
    </w:tbl>
    <w:p w:rsidR="00000000" w:rsidDel="00000000" w:rsidP="00000000" w:rsidRDefault="00000000" w:rsidRPr="00000000" w14:paraId="00000255">
      <w:pPr>
        <w:spacing w:before="200" w:line="276" w:lineRule="auto"/>
        <w:jc w:val="center"/>
        <w:rPr/>
      </w:pPr>
      <w:r w:rsidDel="00000000" w:rsidR="00000000" w:rsidRPr="00000000">
        <w:rPr>
          <w:rtl w:val="0"/>
        </w:rPr>
        <w:t xml:space="preserve">Figura 1.9. Evolución de la relación bolsa/libro entre 2016-2025.</w:t>
      </w:r>
    </w:p>
    <w:p w:rsidR="00000000" w:rsidDel="00000000" w:rsidP="00000000" w:rsidRDefault="00000000" w:rsidRPr="00000000" w14:paraId="00000256">
      <w:pPr>
        <w:spacing w:before="200" w:line="276" w:lineRule="auto"/>
        <w:jc w:val="center"/>
        <w:rPr/>
      </w:pPr>
      <w:r w:rsidDel="00000000" w:rsidR="00000000" w:rsidRPr="00000000">
        <w:rPr>
          <w:rtl w:val="0"/>
        </w:rPr>
      </w:r>
    </w:p>
    <w:p w:rsidR="00000000" w:rsidDel="00000000" w:rsidP="00000000" w:rsidRDefault="00000000" w:rsidRPr="00000000" w14:paraId="00000257">
      <w:pPr>
        <w:spacing w:before="200" w:line="276" w:lineRule="auto"/>
        <w:jc w:val="center"/>
        <w:rPr/>
      </w:pPr>
      <w:r w:rsidDel="00000000" w:rsidR="00000000" w:rsidRPr="00000000">
        <w:rPr>
          <w:rtl w:val="0"/>
        </w:rPr>
      </w:r>
    </w:p>
    <w:p w:rsidR="00000000" w:rsidDel="00000000" w:rsidP="00000000" w:rsidRDefault="00000000" w:rsidRPr="00000000" w14:paraId="00000258">
      <w:pPr>
        <w:spacing w:before="200" w:line="276" w:lineRule="auto"/>
        <w:jc w:val="center"/>
        <w:rPr/>
      </w:pPr>
      <w:r w:rsidDel="00000000" w:rsidR="00000000" w:rsidRPr="00000000">
        <w:rPr>
          <w:rtl w:val="0"/>
        </w:rPr>
      </w:r>
    </w:p>
    <w:p w:rsidR="00000000" w:rsidDel="00000000" w:rsidP="00000000" w:rsidRDefault="00000000" w:rsidRPr="00000000" w14:paraId="00000259">
      <w:pPr>
        <w:pStyle w:val="Heading1"/>
        <w:spacing w:after="200" w:before="200" w:lineRule="auto"/>
        <w:ind w:left="0" w:firstLine="0"/>
        <w:jc w:val="center"/>
        <w:rPr/>
      </w:pPr>
      <w:bookmarkStart w:colFirst="0" w:colLast="0" w:name="_sgxbmahqn35p" w:id="16"/>
      <w:bookmarkEnd w:id="16"/>
      <w:r w:rsidDel="00000000" w:rsidR="00000000" w:rsidRPr="00000000">
        <w:rPr/>
        <w:drawing>
          <wp:inline distB="114300" distT="114300" distL="114300" distR="114300">
            <wp:extent cx="4362353" cy="2971800"/>
            <wp:effectExtent b="0" l="0" r="0" t="0"/>
            <wp:docPr descr="Gráfico" id="1" name="image9.png"/>
            <a:graphic>
              <a:graphicData uri="http://schemas.openxmlformats.org/drawingml/2006/picture">
                <pic:pic>
                  <pic:nvPicPr>
                    <pic:cNvPr descr="Gráfico" id="0" name="image9.png"/>
                    <pic:cNvPicPr preferRelativeResize="0"/>
                  </pic:nvPicPr>
                  <pic:blipFill>
                    <a:blip r:embed="rId14"/>
                    <a:srcRect b="0" l="0" r="0" t="0"/>
                    <a:stretch>
                      <a:fillRect/>
                    </a:stretch>
                  </pic:blipFill>
                  <pic:spPr>
                    <a:xfrm>
                      <a:off x="0" y="0"/>
                      <a:ext cx="4362353"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276" w:lineRule="auto"/>
        <w:jc w:val="center"/>
        <w:rPr/>
      </w:pPr>
      <w:r w:rsidDel="00000000" w:rsidR="00000000" w:rsidRPr="00000000">
        <w:rPr>
          <w:rtl w:val="0"/>
        </w:rPr>
        <w:t xml:space="preserve">Figura 1.9. Evolución de la relación bolsa/libro entre 2016-2025.</w:t>
      </w:r>
    </w:p>
    <w:p w:rsidR="00000000" w:rsidDel="00000000" w:rsidP="00000000" w:rsidRDefault="00000000" w:rsidRPr="00000000" w14:paraId="0000025B">
      <w:pPr>
        <w:spacing w:line="276" w:lineRule="auto"/>
        <w:jc w:val="center"/>
        <w:rPr/>
      </w:pPr>
      <w:r w:rsidDel="00000000" w:rsidR="00000000" w:rsidRPr="00000000">
        <w:rPr>
          <w:rtl w:val="0"/>
        </w:rPr>
      </w:r>
    </w:p>
    <w:p w:rsidR="00000000" w:rsidDel="00000000" w:rsidP="00000000" w:rsidRDefault="00000000" w:rsidRPr="00000000" w14:paraId="0000025C">
      <w:pPr>
        <w:spacing w:line="276" w:lineRule="auto"/>
        <w:jc w:val="center"/>
        <w:rPr/>
      </w:pPr>
      <w:r w:rsidDel="00000000" w:rsidR="00000000" w:rsidRPr="00000000">
        <w:rPr>
          <w:rtl w:val="0"/>
        </w:rPr>
      </w:r>
    </w:p>
    <w:p w:rsidR="00000000" w:rsidDel="00000000" w:rsidP="00000000" w:rsidRDefault="00000000" w:rsidRPr="00000000" w14:paraId="0000025D">
      <w:pPr>
        <w:spacing w:line="276" w:lineRule="auto"/>
        <w:jc w:val="center"/>
        <w:rPr/>
      </w:pPr>
      <w:r w:rsidDel="00000000" w:rsidR="00000000" w:rsidRPr="00000000">
        <w:rPr>
          <w:rtl w:val="0"/>
        </w:rPr>
      </w:r>
    </w:p>
    <w:p w:rsidR="00000000" w:rsidDel="00000000" w:rsidP="00000000" w:rsidRDefault="00000000" w:rsidRPr="00000000" w14:paraId="0000025E">
      <w:pPr>
        <w:spacing w:line="276" w:lineRule="auto"/>
        <w:jc w:val="center"/>
        <w:rPr/>
      </w:pPr>
      <w:r w:rsidDel="00000000" w:rsidR="00000000" w:rsidRPr="00000000">
        <w:rPr>
          <w:rtl w:val="0"/>
        </w:rPr>
      </w:r>
    </w:p>
    <w:p w:rsidR="00000000" w:rsidDel="00000000" w:rsidP="00000000" w:rsidRDefault="00000000" w:rsidRPr="00000000" w14:paraId="0000025F">
      <w:pPr>
        <w:spacing w:line="276" w:lineRule="auto"/>
        <w:jc w:val="center"/>
        <w:rPr/>
      </w:pPr>
      <w:r w:rsidDel="00000000" w:rsidR="00000000" w:rsidRPr="00000000">
        <w:rPr>
          <w:rtl w:val="0"/>
        </w:rPr>
      </w:r>
    </w:p>
    <w:p w:rsidR="00000000" w:rsidDel="00000000" w:rsidP="00000000" w:rsidRDefault="00000000" w:rsidRPr="00000000" w14:paraId="00000260">
      <w:pPr>
        <w:spacing w:line="276" w:lineRule="auto"/>
        <w:jc w:val="center"/>
        <w:rPr/>
      </w:pPr>
      <w:r w:rsidDel="00000000" w:rsidR="00000000" w:rsidRPr="00000000">
        <w:rPr>
          <w:rtl w:val="0"/>
        </w:rPr>
      </w:r>
    </w:p>
    <w:p w:rsidR="00000000" w:rsidDel="00000000" w:rsidP="00000000" w:rsidRDefault="00000000" w:rsidRPr="00000000" w14:paraId="00000261">
      <w:pPr>
        <w:spacing w:line="276" w:lineRule="auto"/>
        <w:jc w:val="center"/>
        <w:rPr/>
      </w:pPr>
      <w:r w:rsidDel="00000000" w:rsidR="00000000" w:rsidRPr="00000000">
        <w:rPr>
          <w:rtl w:val="0"/>
        </w:rPr>
      </w:r>
    </w:p>
    <w:p w:rsidR="00000000" w:rsidDel="00000000" w:rsidP="00000000" w:rsidRDefault="00000000" w:rsidRPr="00000000" w14:paraId="00000262">
      <w:pPr>
        <w:spacing w:line="276" w:lineRule="auto"/>
        <w:jc w:val="center"/>
        <w:rPr/>
      </w:pPr>
      <w:r w:rsidDel="00000000" w:rsidR="00000000" w:rsidRPr="00000000">
        <w:rPr>
          <w:rtl w:val="0"/>
        </w:rPr>
      </w:r>
    </w:p>
    <w:p w:rsidR="00000000" w:rsidDel="00000000" w:rsidP="00000000" w:rsidRDefault="00000000" w:rsidRPr="00000000" w14:paraId="00000263">
      <w:pPr>
        <w:spacing w:line="276" w:lineRule="auto"/>
        <w:jc w:val="center"/>
        <w:rPr/>
      </w:pPr>
      <w:r w:rsidDel="00000000" w:rsidR="00000000" w:rsidRPr="00000000">
        <w:rPr>
          <w:rtl w:val="0"/>
        </w:rPr>
      </w:r>
    </w:p>
    <w:p w:rsidR="00000000" w:rsidDel="00000000" w:rsidP="00000000" w:rsidRDefault="00000000" w:rsidRPr="00000000" w14:paraId="00000264">
      <w:pPr>
        <w:spacing w:line="276" w:lineRule="auto"/>
        <w:jc w:val="center"/>
        <w:rPr/>
      </w:pPr>
      <w:r w:rsidDel="00000000" w:rsidR="00000000" w:rsidRPr="00000000">
        <w:rPr>
          <w:rtl w:val="0"/>
        </w:rPr>
      </w:r>
    </w:p>
    <w:p w:rsidR="00000000" w:rsidDel="00000000" w:rsidP="00000000" w:rsidRDefault="00000000" w:rsidRPr="00000000" w14:paraId="00000265">
      <w:pPr>
        <w:spacing w:line="276" w:lineRule="auto"/>
        <w:jc w:val="center"/>
        <w:rPr/>
      </w:pPr>
      <w:r w:rsidDel="00000000" w:rsidR="00000000" w:rsidRPr="00000000">
        <w:rPr>
          <w:rtl w:val="0"/>
        </w:rPr>
      </w:r>
    </w:p>
    <w:p w:rsidR="00000000" w:rsidDel="00000000" w:rsidP="00000000" w:rsidRDefault="00000000" w:rsidRPr="00000000" w14:paraId="00000266">
      <w:pPr>
        <w:spacing w:line="276" w:lineRule="auto"/>
        <w:jc w:val="center"/>
        <w:rPr/>
      </w:pPr>
      <w:r w:rsidDel="00000000" w:rsidR="00000000" w:rsidRPr="00000000">
        <w:rPr>
          <w:rtl w:val="0"/>
        </w:rPr>
      </w:r>
    </w:p>
    <w:p w:rsidR="00000000" w:rsidDel="00000000" w:rsidP="00000000" w:rsidRDefault="00000000" w:rsidRPr="00000000" w14:paraId="00000267">
      <w:pPr>
        <w:spacing w:line="276" w:lineRule="auto"/>
        <w:jc w:val="center"/>
        <w:rPr/>
      </w:pPr>
      <w:r w:rsidDel="00000000" w:rsidR="00000000" w:rsidRPr="00000000">
        <w:rPr>
          <w:rtl w:val="0"/>
        </w:rPr>
      </w:r>
    </w:p>
    <w:p w:rsidR="00000000" w:rsidDel="00000000" w:rsidP="00000000" w:rsidRDefault="00000000" w:rsidRPr="00000000" w14:paraId="00000268">
      <w:pPr>
        <w:spacing w:line="276" w:lineRule="auto"/>
        <w:jc w:val="center"/>
        <w:rPr/>
      </w:pPr>
      <w:r w:rsidDel="00000000" w:rsidR="00000000" w:rsidRPr="00000000">
        <w:rPr>
          <w:rtl w:val="0"/>
        </w:rPr>
      </w:r>
    </w:p>
    <w:p w:rsidR="00000000" w:rsidDel="00000000" w:rsidP="00000000" w:rsidRDefault="00000000" w:rsidRPr="00000000" w14:paraId="00000269">
      <w:pPr>
        <w:spacing w:line="276" w:lineRule="auto"/>
        <w:jc w:val="center"/>
        <w:rPr/>
      </w:pPr>
      <w:r w:rsidDel="00000000" w:rsidR="00000000" w:rsidRPr="00000000">
        <w:rPr>
          <w:rtl w:val="0"/>
        </w:rPr>
      </w:r>
    </w:p>
    <w:p w:rsidR="00000000" w:rsidDel="00000000" w:rsidP="00000000" w:rsidRDefault="00000000" w:rsidRPr="00000000" w14:paraId="0000026A">
      <w:pPr>
        <w:spacing w:line="276" w:lineRule="auto"/>
        <w:jc w:val="center"/>
        <w:rPr/>
      </w:pPr>
      <w:r w:rsidDel="00000000" w:rsidR="00000000" w:rsidRPr="00000000">
        <w:rPr>
          <w:rtl w:val="0"/>
        </w:rPr>
      </w:r>
    </w:p>
    <w:p w:rsidR="00000000" w:rsidDel="00000000" w:rsidP="00000000" w:rsidRDefault="00000000" w:rsidRPr="00000000" w14:paraId="0000026B">
      <w:pPr>
        <w:spacing w:line="276" w:lineRule="auto"/>
        <w:jc w:val="center"/>
        <w:rPr/>
      </w:pPr>
      <w:r w:rsidDel="00000000" w:rsidR="00000000" w:rsidRPr="00000000">
        <w:rPr>
          <w:rtl w:val="0"/>
        </w:rPr>
      </w:r>
    </w:p>
    <w:p w:rsidR="00000000" w:rsidDel="00000000" w:rsidP="00000000" w:rsidRDefault="00000000" w:rsidRPr="00000000" w14:paraId="0000026C">
      <w:pPr>
        <w:spacing w:line="276" w:lineRule="auto"/>
        <w:jc w:val="left"/>
        <w:rPr/>
      </w:pPr>
      <w:r w:rsidDel="00000000" w:rsidR="00000000" w:rsidRPr="00000000">
        <w:rPr>
          <w:rtl w:val="0"/>
        </w:rPr>
      </w:r>
    </w:p>
    <w:p w:rsidR="00000000" w:rsidDel="00000000" w:rsidP="00000000" w:rsidRDefault="00000000" w:rsidRPr="00000000" w14:paraId="0000026D">
      <w:pPr>
        <w:spacing w:line="276" w:lineRule="auto"/>
        <w:jc w:val="left"/>
        <w:rPr/>
      </w:pPr>
      <w:r w:rsidDel="00000000" w:rsidR="00000000" w:rsidRPr="00000000">
        <w:rPr>
          <w:rtl w:val="0"/>
        </w:rPr>
      </w:r>
    </w:p>
    <w:p w:rsidR="00000000" w:rsidDel="00000000" w:rsidP="00000000" w:rsidRDefault="00000000" w:rsidRPr="00000000" w14:paraId="0000026E">
      <w:pPr>
        <w:pStyle w:val="Heading1"/>
        <w:numPr>
          <w:ilvl w:val="0"/>
          <w:numId w:val="2"/>
        </w:numPr>
        <w:spacing w:after="200" w:before="200" w:lineRule="auto"/>
        <w:rPr>
          <w:b w:val="1"/>
          <w:bCs w:val="1"/>
        </w:rPr>
      </w:pPr>
      <w:bookmarkStart w:colFirst="0" w:colLast="0" w:name="_scho0s1yfcmb" w:id="17"/>
      <w:bookmarkEnd w:id="17"/>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26F">
      <w:pPr>
        <w:ind w:left="720.0000000000001"/>
        <w:rPr/>
      </w:pPr>
      <w:r w:rsidDel="00000000" w:rsidR="00000000" w:rsidRPr="00000000">
        <w:rPr>
          <w:i w:val="1"/>
          <w:iCs w:val="1"/>
          <w:rtl w:val="0"/>
        </w:rPr>
        <w:t xml:space="preserve">CLINICA</w:t>
      </w:r>
      <w:r w:rsidDel="00000000" w:rsidR="00000000" w:rsidRPr="00000000">
        <w:rPr>
          <w:i w:val="1"/>
          <w:iCs w:val="1"/>
          <w:rtl w:val="0"/>
        </w:rPr>
        <w:t xml:space="preserve"> LAS CONDES S.A. - Estados Financieros Filiales - CMF. (s. f.). </w:t>
      </w:r>
      <w:hyperlink r:id="rId15">
        <w:r w:rsidDel="00000000" w:rsidR="00000000" w:rsidRPr="00000000">
          <w:rPr>
            <w:i w:val="1"/>
            <w:iCs w:val="1"/>
            <w:color w:val="1155cc"/>
            <w:u w:val="single"/>
            <w:rtl w:val="0"/>
          </w:rPr>
          <w:t xml:space="preserve">https://www.cmfchile.cl/institucional/mercados/entidad.php?mercado=V&amp;rut=93930000&amp;grupo=&amp;tipoentidad=RVEMI&amp;row=&amp;vig=VI&amp;control=svs&amp;pestania=33</w:t>
        </w:r>
      </w:hyperlink>
      <w:r w:rsidDel="00000000" w:rsidR="00000000" w:rsidRPr="00000000">
        <w:rPr>
          <w:rtl w:val="0"/>
        </w:rPr>
      </w:r>
    </w:p>
    <w:p w:rsidR="00000000" w:rsidDel="00000000" w:rsidP="00000000" w:rsidRDefault="00000000" w:rsidRPr="00000000" w14:paraId="00000270">
      <w:pPr>
        <w:ind w:left="720.0000000000001"/>
        <w:rPr/>
      </w:pPr>
      <w:r w:rsidDel="00000000" w:rsidR="00000000" w:rsidRPr="00000000">
        <w:rPr>
          <w:rtl w:val="0"/>
        </w:rPr>
        <w:t xml:space="preserve">Koyfin | Advanced graphing and analytical tools for investors. (s. f.). Koyfin. </w:t>
      </w:r>
      <w:hyperlink r:id="rId16">
        <w:r w:rsidDel="00000000" w:rsidR="00000000" w:rsidRPr="00000000">
          <w:rPr>
            <w:color w:val="1155cc"/>
            <w:u w:val="single"/>
            <w:rtl w:val="0"/>
          </w:rPr>
          <w:t xml:space="preserve">https://app.koyfin.com/fa/00000000-2cfe-4f65-a319-b024e5955d01/eq-6a7clv</w:t>
        </w:r>
      </w:hyperlink>
      <w:r w:rsidDel="00000000" w:rsidR="00000000" w:rsidRPr="00000000">
        <w:rPr>
          <w:rtl w:val="0"/>
        </w:rPr>
      </w:r>
    </w:p>
    <w:p w:rsidR="00000000" w:rsidDel="00000000" w:rsidP="00000000" w:rsidRDefault="00000000" w:rsidRPr="00000000" w14:paraId="00000271">
      <w:pPr>
        <w:ind w:left="720"/>
        <w:rPr/>
      </w:pPr>
      <w:r w:rsidDel="00000000" w:rsidR="00000000" w:rsidRPr="00000000">
        <w:rPr>
          <w:sz w:val="24"/>
          <w:szCs w:val="24"/>
          <w:rtl w:val="0"/>
        </w:rPr>
        <w:t xml:space="preserve">Santiagox. (s. f.). </w:t>
      </w:r>
      <w:r w:rsidDel="00000000" w:rsidR="00000000" w:rsidRPr="00000000">
        <w:rPr>
          <w:i w:val="1"/>
          <w:iCs w:val="1"/>
          <w:sz w:val="24"/>
          <w:szCs w:val="24"/>
          <w:rtl w:val="0"/>
        </w:rPr>
        <w:t xml:space="preserve">SANTIAGOX</w:t>
      </w:r>
      <w:r w:rsidDel="00000000" w:rsidR="00000000" w:rsidRPr="00000000">
        <w:rPr>
          <w:sz w:val="24"/>
          <w:szCs w:val="24"/>
          <w:rtl w:val="0"/>
        </w:rPr>
        <w:t xml:space="preserve">. SANTIAGOX. </w:t>
      </w:r>
      <w:hyperlink r:id="rId17">
        <w:r w:rsidDel="00000000" w:rsidR="00000000" w:rsidRPr="00000000">
          <w:rPr>
            <w:color w:val="1155cc"/>
            <w:sz w:val="24"/>
            <w:szCs w:val="24"/>
            <w:u w:val="single"/>
            <w:rtl w:val="0"/>
          </w:rPr>
          <w:t xml:space="preserve">https://www.bolsadesantiago.com/resumen_instrumento/LAS%20CONDES</w:t>
        </w:r>
      </w:hyperlink>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numPr>
          <w:ilvl w:val="0"/>
          <w:numId w:val="2"/>
        </w:numPr>
        <w:spacing w:after="200" w:before="200" w:lineRule="auto"/>
        <w:rPr>
          <w:b w:val="1"/>
          <w:bCs w:val="1"/>
        </w:rPr>
      </w:pPr>
      <w:bookmarkStart w:colFirst="0" w:colLast="0" w:name="_98jisfdx56kl" w:id="18"/>
      <w:bookmarkEnd w:id="18"/>
      <w:r w:rsidDel="00000000" w:rsidR="00000000" w:rsidRPr="00000000">
        <w:rPr>
          <w:rtl w:val="0"/>
        </w:rPr>
        <w:t xml:space="preserve">Anexo</w:t>
      </w:r>
    </w:p>
    <w:p w:rsidR="00000000" w:rsidDel="00000000" w:rsidP="00000000" w:rsidRDefault="00000000" w:rsidRPr="00000000" w14:paraId="00000273">
      <w:pPr>
        <w:spacing w:after="200" w:before="200" w:lineRule="auto"/>
        <w:ind w:firstLine="720.0000000000001"/>
        <w:rPr/>
      </w:pPr>
      <w:r w:rsidDel="00000000" w:rsidR="00000000" w:rsidRPr="00000000">
        <w:rPr>
          <w:rtl w:val="0"/>
        </w:rPr>
        <w:t xml:space="preserve">A continuación, se describen los aportes individuales de cada integrante en el trabajo realizado:</w:t>
      </w:r>
    </w:p>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350"/>
        <w:gridCol w:w="2865"/>
        <w:gridCol w:w="1035"/>
        <w:gridCol w:w="1920"/>
        <w:tblGridChange w:id="0">
          <w:tblGrid>
            <w:gridCol w:w="2205"/>
            <w:gridCol w:w="1350"/>
            <w:gridCol w:w="2865"/>
            <w:gridCol w:w="1035"/>
            <w:gridCol w:w="1920"/>
          </w:tblGrid>
        </w:tblGridChange>
      </w:tblGrid>
      <w:tr>
        <w:trPr>
          <w:cantSplit w:val="0"/>
          <w:trHeight w:val="360" w:hRule="atLeast"/>
          <w:tblHeader w:val="0"/>
        </w:trPr>
        <w:tc>
          <w:tcPr>
            <w:gridSpan w:val="2"/>
            <w:shd w:fill="d9d9d9" w:val="clear"/>
          </w:tcPr>
          <w:p w:rsidR="00000000" w:rsidDel="00000000" w:rsidP="00000000" w:rsidRDefault="00000000" w:rsidRPr="00000000" w14:paraId="00000274">
            <w:pPr>
              <w:widowControl w:val="0"/>
              <w:spacing w:line="240" w:lineRule="auto"/>
              <w:rPr/>
            </w:pPr>
            <w:r w:rsidDel="00000000" w:rsidR="00000000" w:rsidRPr="00000000">
              <w:rPr>
                <w:rtl w:val="0"/>
              </w:rPr>
              <w:t xml:space="preserve">Integrante</w:t>
            </w:r>
          </w:p>
        </w:tc>
        <w:tc>
          <w:tcPr>
            <w:shd w:fill="d9d9d9" w:val="clear"/>
          </w:tcPr>
          <w:p w:rsidR="00000000" w:rsidDel="00000000" w:rsidP="00000000" w:rsidRDefault="00000000" w:rsidRPr="00000000" w14:paraId="00000276">
            <w:pPr>
              <w:widowControl w:val="0"/>
              <w:spacing w:line="240" w:lineRule="auto"/>
              <w:rPr/>
            </w:pPr>
            <w:r w:rsidDel="00000000" w:rsidR="00000000" w:rsidRPr="00000000">
              <w:rPr>
                <w:rtl w:val="0"/>
              </w:rPr>
              <w:t xml:space="preserve">Aportes realizados</w:t>
            </w:r>
          </w:p>
        </w:tc>
        <w:tc>
          <w:tcPr>
            <w:gridSpan w:val="2"/>
            <w:shd w:fill="d9d9d9" w:val="clear"/>
          </w:tcPr>
          <w:p w:rsidR="00000000" w:rsidDel="00000000" w:rsidP="00000000" w:rsidRDefault="00000000" w:rsidRPr="00000000" w14:paraId="00000277">
            <w:pPr>
              <w:widowControl w:val="0"/>
              <w:spacing w:line="240" w:lineRule="auto"/>
              <w:rPr/>
            </w:pPr>
            <w:r w:rsidDel="00000000" w:rsidR="00000000" w:rsidRPr="00000000">
              <w:rPr>
                <w:rtl w:val="0"/>
              </w:rPr>
              <w:t xml:space="preserve">Firma</w:t>
            </w:r>
          </w:p>
        </w:tc>
      </w:tr>
      <w:tr>
        <w:trPr>
          <w:cantSplit w:val="0"/>
          <w:trHeight w:val="360" w:hRule="atLeast"/>
          <w:tblHeader w:val="0"/>
        </w:trPr>
        <w:tc>
          <w:tcPr>
            <w:gridSpan w:val="2"/>
          </w:tcPr>
          <w:p w:rsidR="00000000" w:rsidDel="00000000" w:rsidP="00000000" w:rsidRDefault="00000000" w:rsidRPr="00000000" w14:paraId="00000279">
            <w:pPr>
              <w:widowControl w:val="0"/>
              <w:spacing w:line="240" w:lineRule="auto"/>
              <w:rPr/>
            </w:pPr>
            <w:r w:rsidDel="00000000" w:rsidR="00000000" w:rsidRPr="00000000">
              <w:rPr>
                <w:rtl w:val="0"/>
              </w:rPr>
              <w:t xml:space="preserve">Franco Nicolai Corvalán Mansourova</w:t>
            </w:r>
          </w:p>
          <w:p w:rsidR="00000000" w:rsidDel="00000000" w:rsidP="00000000" w:rsidRDefault="00000000" w:rsidRPr="00000000" w14:paraId="0000027A">
            <w:pPr>
              <w:widowControl w:val="0"/>
              <w:spacing w:line="240" w:lineRule="auto"/>
              <w:rPr/>
            </w:pPr>
            <w:r w:rsidDel="00000000" w:rsidR="00000000" w:rsidRPr="00000000">
              <w:rPr>
                <w:rtl w:val="0"/>
              </w:rPr>
            </w:r>
          </w:p>
        </w:tc>
        <w:tc>
          <w:tcPr/>
          <w:p w:rsidR="00000000" w:rsidDel="00000000" w:rsidP="00000000" w:rsidRDefault="00000000" w:rsidRPr="00000000" w14:paraId="0000027C">
            <w:pPr>
              <w:widowControl w:val="0"/>
              <w:spacing w:line="240" w:lineRule="auto"/>
              <w:rPr/>
            </w:pPr>
            <w:r w:rsidDel="00000000" w:rsidR="00000000" w:rsidRPr="00000000">
              <w:rPr>
                <w:rtl w:val="0"/>
              </w:rPr>
              <w:t xml:space="preserve">Coordinación de la tarea, búsqueda de datos, creación de tablas y gráficos, y análisis. </w:t>
            </w:r>
          </w:p>
        </w:tc>
        <w:tc>
          <w:tcPr>
            <w:gridSpan w:val="2"/>
          </w:tcPr>
          <w:p w:rsidR="00000000" w:rsidDel="00000000" w:rsidP="00000000" w:rsidRDefault="00000000" w:rsidRPr="00000000" w14:paraId="0000027D">
            <w:pPr>
              <w:widowControl w:val="0"/>
              <w:spacing w:line="240" w:lineRule="auto"/>
              <w:jc w:val="left"/>
              <w:rPr/>
            </w:pPr>
            <w:r w:rsidDel="00000000" w:rsidR="00000000" w:rsidRPr="00000000">
              <w:rPr/>
              <w:drawing>
                <wp:inline distB="114300" distT="114300" distL="114300" distR="114300">
                  <wp:extent cx="1721190" cy="993596"/>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721190" cy="993596"/>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widowControl w:val="0"/>
              <w:spacing w:line="240" w:lineRule="auto"/>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280">
            <w:pPr>
              <w:widowControl w:val="0"/>
              <w:spacing w:line="240" w:lineRule="auto"/>
              <w:rPr/>
            </w:pPr>
            <w:r w:rsidDel="00000000" w:rsidR="00000000" w:rsidRPr="00000000">
              <w:rPr>
                <w:rtl w:val="0"/>
              </w:rPr>
              <w:t xml:space="preserve">Sara Kita Tamashiro</w:t>
            </w:r>
          </w:p>
        </w:tc>
        <w:tc>
          <w:tcPr/>
          <w:p w:rsidR="00000000" w:rsidDel="00000000" w:rsidP="00000000" w:rsidRDefault="00000000" w:rsidRPr="00000000" w14:paraId="00000282">
            <w:pPr>
              <w:widowControl w:val="0"/>
              <w:spacing w:line="240" w:lineRule="auto"/>
              <w:rPr/>
            </w:pPr>
            <w:r w:rsidDel="00000000" w:rsidR="00000000" w:rsidRPr="00000000">
              <w:rPr>
                <w:rtl w:val="0"/>
              </w:rPr>
              <w:t xml:space="preserve">Análisis y creación de la presentación.</w:t>
            </w:r>
          </w:p>
        </w:tc>
        <w:tc>
          <w:tcPr>
            <w:gridSpan w:val="2"/>
          </w:tcPr>
          <w:p w:rsidR="00000000" w:rsidDel="00000000" w:rsidP="00000000" w:rsidRDefault="00000000" w:rsidRPr="00000000" w14:paraId="00000283">
            <w:pPr>
              <w:widowControl w:val="0"/>
              <w:spacing w:line="240" w:lineRule="auto"/>
              <w:rPr/>
            </w:pPr>
            <w:r w:rsidDel="00000000" w:rsidR="00000000" w:rsidRPr="00000000">
              <w:rPr/>
              <w:drawing>
                <wp:inline distB="114300" distT="114300" distL="114300" distR="114300">
                  <wp:extent cx="1724138" cy="963950"/>
                  <wp:effectExtent b="0" l="0" r="0" t="0"/>
                  <wp:docPr id="9"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1724138" cy="96395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widowControl w:val="0"/>
              <w:spacing w:line="240" w:lineRule="auto"/>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286">
            <w:pPr>
              <w:widowControl w:val="0"/>
              <w:spacing w:line="240" w:lineRule="auto"/>
              <w:rPr/>
            </w:pPr>
            <w:r w:rsidDel="00000000" w:rsidR="00000000" w:rsidRPr="00000000">
              <w:rPr>
                <w:rtl w:val="0"/>
              </w:rPr>
              <w:t xml:space="preserve">Martín Ignacio Cerda Moraga</w:t>
            </w:r>
          </w:p>
        </w:tc>
        <w:tc>
          <w:tcPr/>
          <w:p w:rsidR="00000000" w:rsidDel="00000000" w:rsidP="00000000" w:rsidRDefault="00000000" w:rsidRPr="00000000" w14:paraId="00000288">
            <w:pPr>
              <w:widowControl w:val="0"/>
              <w:spacing w:line="240" w:lineRule="auto"/>
              <w:rPr/>
            </w:pPr>
            <w:r w:rsidDel="00000000" w:rsidR="00000000" w:rsidRPr="00000000">
              <w:rPr>
                <w:rtl w:val="0"/>
              </w:rPr>
              <w:t xml:space="preserve">Búsqueda de datos, creación de tablas y gráficos, y análisis. </w:t>
            </w:r>
          </w:p>
        </w:tc>
        <w:tc>
          <w:tcPr>
            <w:gridSpan w:val="2"/>
          </w:tcPr>
          <w:p w:rsidR="00000000" w:rsidDel="00000000" w:rsidP="00000000" w:rsidRDefault="00000000" w:rsidRPr="00000000" w14:paraId="00000289">
            <w:pPr>
              <w:widowControl w:val="0"/>
              <w:spacing w:line="240" w:lineRule="auto"/>
              <w:rPr/>
            </w:pPr>
            <w:r w:rsidDel="00000000" w:rsidR="00000000" w:rsidRPr="00000000">
              <w:rPr/>
              <w:drawing>
                <wp:inline distB="114300" distT="114300" distL="114300" distR="114300">
                  <wp:extent cx="1743075" cy="495300"/>
                  <wp:effectExtent b="0" l="0" r="0" t="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743075" cy="49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B">
      <w:pPr>
        <w:spacing w:after="240" w:before="240" w:line="240" w:lineRule="auto"/>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spacing w:line="276" w:lineRule="auto"/>
      <w:ind w:left="720" w:firstLine="0"/>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290">
    <w:pPr>
      <w:spacing w:line="276" w:lineRule="auto"/>
      <w:ind w:firstLine="720"/>
      <w:rPr/>
    </w:pPr>
    <w:r w:rsidDel="00000000" w:rsidR="00000000" w:rsidRPr="00000000">
      <w:rPr>
        <w:rtl w:val="0"/>
      </w:rPr>
      <w:t xml:space="preserve">Pontificia Universidad Católica de Chile</w:t>
    </w:r>
  </w:p>
  <w:p w:rsidR="00000000" w:rsidDel="00000000" w:rsidP="00000000" w:rsidRDefault="00000000" w:rsidRPr="00000000" w14:paraId="00000291">
    <w:pPr>
      <w:spacing w:line="276" w:lineRule="auto"/>
      <w:ind w:left="720" w:firstLine="0"/>
      <w:rPr/>
    </w:pPr>
    <w:r w:rsidDel="00000000" w:rsidR="00000000" w:rsidRPr="00000000">
      <w:rPr>
        <w:rtl w:val="0"/>
      </w:rPr>
      <w:t xml:space="preserve">Escuela de Ingeniería</w:t>
    </w:r>
  </w:p>
  <w:p w:rsidR="00000000" w:rsidDel="00000000" w:rsidP="00000000" w:rsidRDefault="00000000" w:rsidRPr="00000000" w14:paraId="00000292">
    <w:pPr>
      <w:spacing w:line="276" w:lineRule="auto"/>
      <w:ind w:left="720" w:firstLine="0"/>
      <w:rPr/>
    </w:pPr>
    <w:r w:rsidDel="00000000" w:rsidR="00000000" w:rsidRPr="00000000">
      <w:rPr>
        <w:rtl w:val="0"/>
      </w:rPr>
      <w:t xml:space="preserve">Departamento de Ingeniería Industrial y de Sistemas</w:t>
    </w:r>
  </w:p>
  <w:p w:rsidR="00000000" w:rsidDel="00000000" w:rsidP="00000000" w:rsidRDefault="00000000" w:rsidRPr="00000000" w14:paraId="00000293">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0.png"/><Relationship Id="rId22" Type="http://schemas.openxmlformats.org/officeDocument/2006/relationships/header" Target="header2.xml"/><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13.png"/><Relationship Id="rId24" Type="http://schemas.openxmlformats.org/officeDocument/2006/relationships/footer" Target="footer2.xml"/><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hyperlink" Target="https://www.cmfchile.cl/institucional/mercados/entidad.php?mercado=V&amp;rut=93930000&amp;grupo=&amp;tipoentidad=RVEMI&amp;row=&amp;vig=VI&amp;control=svs&amp;pestania=33" TargetMode="External"/><Relationship Id="rId14" Type="http://schemas.openxmlformats.org/officeDocument/2006/relationships/image" Target="media/image9.png"/><Relationship Id="rId17" Type="http://schemas.openxmlformats.org/officeDocument/2006/relationships/hyperlink" Target="https://www.bolsadesantiago.com/resumen_instrumento/LAS%20CONDES" TargetMode="External"/><Relationship Id="rId16" Type="http://schemas.openxmlformats.org/officeDocument/2006/relationships/hyperlink" Target="https://app.koyfin.com/fa/00000000-2cfe-4f65-a319-b024e5955d01/eq-6a7clv" TargetMode="External"/><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