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17.3228346456694" w:top="1417.3228346456694" w:left="1417.3228346456694" w:right="1417.3228346456694" w:header="720" w:footer="720"/>
          <w:pgNumType w:start="1"/>
        </w:sectPr>
      </w:pPr>
      <w:bookmarkStart w:colFirst="0" w:colLast="0" w:name="_awi24ryh6ih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Entrega de informe ING1001 Práctica I</w:t>
      </w:r>
      <w:r w:rsidDel="00000000" w:rsidR="00000000" w:rsidRPr="00000000">
        <w:rPr>
          <w:rtl w:val="0"/>
        </w:rPr>
      </w:r>
    </w:p>
    <w:p w:rsidR="00000000" w:rsidDel="00000000" w:rsidP="00000000" w:rsidRDefault="00000000" w:rsidRPr="00000000" w14:paraId="0000000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Style w:val="Title"/>
        <w:spacing w:line="360" w:lineRule="auto"/>
        <w:jc w:val="center"/>
        <w:rPr>
          <w:rFonts w:ascii="Times New Roman" w:cs="Times New Roman" w:eastAsia="Times New Roman" w:hAnsi="Times New Roman"/>
          <w:sz w:val="48"/>
          <w:szCs w:val="48"/>
        </w:rPr>
      </w:pPr>
      <w:bookmarkStart w:colFirst="0" w:colLast="0" w:name="_9k5cowwgdpcu" w:id="1"/>
      <w:bookmarkEnd w:id="1"/>
      <w:r w:rsidDel="00000000" w:rsidR="00000000" w:rsidRPr="00000000">
        <w:rPr>
          <w:rFonts w:ascii="Times New Roman" w:cs="Times New Roman" w:eastAsia="Times New Roman" w:hAnsi="Times New Roman"/>
          <w:sz w:val="48"/>
          <w:szCs w:val="48"/>
          <w:rtl w:val="0"/>
        </w:rPr>
        <w:t xml:space="preserve">ENTREGA 3 </w:t>
      </w:r>
    </w:p>
    <w:p w:rsidR="00000000" w:rsidDel="00000000" w:rsidP="00000000" w:rsidRDefault="00000000" w:rsidRPr="00000000" w14:paraId="000000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 de expansión a mercado local brasileño vía Flota Embraer en LATAM Airlines</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Gonzalo Valdés</w:t>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Integrantes:</w:t>
      </w:r>
    </w:p>
    <w:p w:rsidR="00000000" w:rsidDel="00000000" w:rsidP="00000000" w:rsidRDefault="00000000" w:rsidRPr="00000000" w14:paraId="00000027">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Humberto Ignacio Espejo Bottinelli; 23642289</w:t>
      </w:r>
    </w:p>
    <w:p w:rsidR="00000000" w:rsidDel="00000000" w:rsidP="00000000" w:rsidRDefault="00000000" w:rsidRPr="00000000" w14:paraId="00000028">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Paulo Gabriel Oses Darrigrande; 23642777</w:t>
      </w:r>
    </w:p>
    <w:p w:rsidR="00000000" w:rsidDel="00000000" w:rsidP="00000000" w:rsidRDefault="00000000" w:rsidRPr="00000000" w14:paraId="00000029">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Franco Nicolai Corvalán Mansourova; 23200022</w:t>
      </w:r>
    </w:p>
    <w:p w:rsidR="00000000" w:rsidDel="00000000" w:rsidP="00000000" w:rsidRDefault="00000000" w:rsidRPr="00000000" w14:paraId="0000002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tl w:val="0"/>
        </w:rPr>
      </w:r>
    </w:p>
    <w:p w:rsidR="00000000" w:rsidDel="00000000" w:rsidP="00000000" w:rsidRDefault="00000000" w:rsidRPr="00000000" w14:paraId="0000002B">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de Contenidos</w:t>
      </w:r>
    </w:p>
    <w:sdt>
      <w:sdtPr>
        <w:id w:val="1724974240"/>
        <w:docPartObj>
          <w:docPartGallery w:val="Table of Contents"/>
          <w:docPartUnique w:val="1"/>
        </w:docPartObj>
      </w:sdtPr>
      <w:sdtContent>
        <w:p w:rsidR="00000000" w:rsidDel="00000000" w:rsidP="00000000" w:rsidRDefault="00000000" w:rsidRPr="00000000" w14:paraId="0000002C">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2,3,Heading 3,3,Heading 4,4,Heading 5,5,Heading 6,6,"</w:instrText>
            <w:fldChar w:fldCharType="separate"/>
          </w:r>
          <w:hyperlink w:anchor="_o8pyuslg91no">
            <w:r w:rsidDel="00000000" w:rsidR="00000000" w:rsidRPr="00000000">
              <w:rPr>
                <w:rFonts w:ascii="Times New Roman" w:cs="Times New Roman" w:eastAsia="Times New Roman" w:hAnsi="Times New Roman"/>
                <w:sz w:val="20"/>
                <w:szCs w:val="20"/>
                <w:rtl w:val="0"/>
              </w:rPr>
              <w:t xml:space="preserve">1. Descripción de la iniciativa</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b w:val="1"/>
              <w:bCs w:val="1"/>
            </w:rPr>
          </w:pPr>
          <w:hyperlink w:anchor="_myjir4pn9p71">
            <w:r w:rsidDel="00000000" w:rsidR="00000000" w:rsidRPr="00000000">
              <w:rPr>
                <w:rFonts w:ascii="Times New Roman" w:cs="Times New Roman" w:eastAsia="Times New Roman" w:hAnsi="Times New Roman"/>
                <w:sz w:val="20"/>
                <w:szCs w:val="20"/>
                <w:rtl w:val="0"/>
              </w:rPr>
              <w:t xml:space="preserve">2. Conexión con lo que está sucediendo en la organización</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pPr>
          <w:hyperlink w:anchor="_b5me2r122xxb">
            <w:r w:rsidDel="00000000" w:rsidR="00000000" w:rsidRPr="00000000">
              <w:rPr>
                <w:rFonts w:ascii="Times New Roman" w:cs="Times New Roman" w:eastAsia="Times New Roman" w:hAnsi="Times New Roman"/>
                <w:sz w:val="20"/>
                <w:szCs w:val="20"/>
                <w:rtl w:val="0"/>
              </w:rPr>
              <w:t xml:space="preserve">2.1. Organización en red</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pPr>
          <w:hyperlink w:anchor="_9a69denat0vo">
            <w:r w:rsidDel="00000000" w:rsidR="00000000" w:rsidRPr="00000000">
              <w:rPr>
                <w:rFonts w:ascii="Times New Roman" w:cs="Times New Roman" w:eastAsia="Times New Roman" w:hAnsi="Times New Roman"/>
                <w:sz w:val="20"/>
                <w:szCs w:val="20"/>
                <w:rtl w:val="0"/>
              </w:rPr>
              <w:t xml:space="preserve">2.2. Organización plana</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pPr>
          <w:hyperlink w:anchor="_rw5v2zopxqbj">
            <w:r w:rsidDel="00000000" w:rsidR="00000000" w:rsidRPr="00000000">
              <w:rPr>
                <w:rFonts w:ascii="Times New Roman" w:cs="Times New Roman" w:eastAsia="Times New Roman" w:hAnsi="Times New Roman"/>
                <w:sz w:val="20"/>
                <w:szCs w:val="20"/>
                <w:rtl w:val="0"/>
              </w:rPr>
              <w:t xml:space="preserve">2.3. Organización flexible</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pPr>
          <w:hyperlink w:anchor="_1cufxg3nqekn">
            <w:r w:rsidDel="00000000" w:rsidR="00000000" w:rsidRPr="00000000">
              <w:rPr>
                <w:rFonts w:ascii="Times New Roman" w:cs="Times New Roman" w:eastAsia="Times New Roman" w:hAnsi="Times New Roman"/>
                <w:sz w:val="20"/>
                <w:szCs w:val="20"/>
                <w:rtl w:val="0"/>
              </w:rPr>
              <w:t xml:space="preserve">2.4. Organización diversa</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pPr>
          <w:hyperlink w:anchor="_p6h35xtrrdr7">
            <w:r w:rsidDel="00000000" w:rsidR="00000000" w:rsidRPr="00000000">
              <w:rPr>
                <w:rFonts w:ascii="Times New Roman" w:cs="Times New Roman" w:eastAsia="Times New Roman" w:hAnsi="Times New Roman"/>
                <w:sz w:val="20"/>
                <w:szCs w:val="20"/>
                <w:rtl w:val="0"/>
              </w:rPr>
              <w:t xml:space="preserve">2.5. Organización global e internacional</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b w:val="1"/>
              <w:bCs w:val="1"/>
            </w:rPr>
          </w:pPr>
          <w:hyperlink w:anchor="_9ki30366fjkm">
            <w:r w:rsidDel="00000000" w:rsidR="00000000" w:rsidRPr="00000000">
              <w:rPr>
                <w:rFonts w:ascii="Times New Roman" w:cs="Times New Roman" w:eastAsia="Times New Roman" w:hAnsi="Times New Roman"/>
                <w:sz w:val="20"/>
                <w:szCs w:val="20"/>
                <w:rtl w:val="0"/>
              </w:rPr>
              <w:t xml:space="preserve">3. Perspectivas de análisis de la iniciativa organizacional</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pPr>
          <w:hyperlink w:anchor="_1pm9dxlgk44e">
            <w:r w:rsidDel="00000000" w:rsidR="00000000" w:rsidRPr="00000000">
              <w:rPr>
                <w:rFonts w:ascii="Times New Roman" w:cs="Times New Roman" w:eastAsia="Times New Roman" w:hAnsi="Times New Roman"/>
                <w:sz w:val="20"/>
                <w:szCs w:val="20"/>
                <w:rtl w:val="0"/>
              </w:rPr>
              <w:t xml:space="preserve">3.1. Diseño Estratégico y Estructura Organizacional</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pPr>
          <w:hyperlink w:anchor="_q1v3q5e9kxqm">
            <w:r w:rsidDel="00000000" w:rsidR="00000000" w:rsidRPr="00000000">
              <w:rPr>
                <w:rFonts w:ascii="Times New Roman" w:cs="Times New Roman" w:eastAsia="Times New Roman" w:hAnsi="Times New Roman"/>
                <w:sz w:val="20"/>
                <w:szCs w:val="20"/>
                <w:rtl w:val="0"/>
              </w:rPr>
              <w:t xml:space="preserve">3.2. Política, poder, conflicto y negociación</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pPr>
          <w:hyperlink w:anchor="_4hc8sqmdjlug">
            <w:r w:rsidDel="00000000" w:rsidR="00000000" w:rsidRPr="00000000">
              <w:rPr>
                <w:rFonts w:ascii="Times New Roman" w:cs="Times New Roman" w:eastAsia="Times New Roman" w:hAnsi="Times New Roman"/>
                <w:sz w:val="20"/>
                <w:szCs w:val="20"/>
                <w:rtl w:val="0"/>
              </w:rPr>
              <w:t xml:space="preserve">3.3. Cultura Organizacional</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pPr>
          <w:hyperlink w:anchor="_e088593r2wc0">
            <w:r w:rsidDel="00000000" w:rsidR="00000000" w:rsidRPr="00000000">
              <w:rPr>
                <w:rFonts w:ascii="Times New Roman" w:cs="Times New Roman" w:eastAsia="Times New Roman" w:hAnsi="Times New Roman"/>
                <w:sz w:val="20"/>
                <w:szCs w:val="20"/>
                <w:rtl w:val="0"/>
              </w:rPr>
              <w:t xml:space="preserve">3.4. Discusión Integrada de las Tres Perspectivas</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b w:val="1"/>
              <w:bCs w:val="1"/>
            </w:rPr>
          </w:pPr>
          <w:hyperlink w:anchor="_5q1hc57io9dd">
            <w:r w:rsidDel="00000000" w:rsidR="00000000" w:rsidRPr="00000000">
              <w:rPr>
                <w:rFonts w:ascii="Times New Roman" w:cs="Times New Roman" w:eastAsia="Times New Roman" w:hAnsi="Times New Roman"/>
                <w:sz w:val="20"/>
                <w:szCs w:val="20"/>
                <w:rtl w:val="0"/>
              </w:rPr>
              <w:t xml:space="preserve">4. Evaluación de la Iniciativa y Recomendaciones</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pPr>
          <w:hyperlink w:anchor="_13su739xqlt4">
            <w:r w:rsidDel="00000000" w:rsidR="00000000" w:rsidRPr="00000000">
              <w:rPr>
                <w:rFonts w:ascii="Times New Roman" w:cs="Times New Roman" w:eastAsia="Times New Roman" w:hAnsi="Times New Roman"/>
                <w:sz w:val="20"/>
                <w:szCs w:val="20"/>
                <w:rtl w:val="0"/>
              </w:rPr>
              <w:t xml:space="preserve">4.1. Evaluación de la Implementación y Métricas de Éxito</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pPr>
          <w:hyperlink w:anchor="_15hc0p92273">
            <w:r w:rsidDel="00000000" w:rsidR="00000000" w:rsidRPr="00000000">
              <w:rPr>
                <w:rFonts w:ascii="Times New Roman" w:cs="Times New Roman" w:eastAsia="Times New Roman" w:hAnsi="Times New Roman"/>
                <w:sz w:val="20"/>
                <w:szCs w:val="20"/>
                <w:rtl w:val="0"/>
              </w:rPr>
              <w:t xml:space="preserve">4.2. Factores Facilitadores y Obstaculizadores</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pPr>
          <w:hyperlink w:anchor="_wayaoaj4pyyc">
            <w:r w:rsidDel="00000000" w:rsidR="00000000" w:rsidRPr="00000000">
              <w:rPr>
                <w:rFonts w:ascii="Times New Roman" w:cs="Times New Roman" w:eastAsia="Times New Roman" w:hAnsi="Times New Roman"/>
                <w:sz w:val="20"/>
                <w:szCs w:val="20"/>
                <w:rtl w:val="0"/>
              </w:rPr>
              <w:t xml:space="preserve">4.3. Recomendaciones para la Alta Gerencia</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b w:val="1"/>
              <w:bCs w:val="1"/>
            </w:rPr>
          </w:pPr>
          <w:hyperlink w:anchor="_ad2yaz1ora6l">
            <w:r w:rsidDel="00000000" w:rsidR="00000000" w:rsidRPr="00000000">
              <w:rPr>
                <w:rFonts w:ascii="Times New Roman" w:cs="Times New Roman" w:eastAsia="Times New Roman" w:hAnsi="Times New Roman"/>
                <w:sz w:val="20"/>
                <w:szCs w:val="20"/>
                <w:rtl w:val="0"/>
              </w:rPr>
              <w:t xml:space="preserve">5. Bibliografía</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b w:val="1"/>
              <w:bCs w:val="1"/>
            </w:rPr>
          </w:pPr>
          <w:hyperlink w:anchor="_dtdd116avrch">
            <w:r w:rsidDel="00000000" w:rsidR="00000000" w:rsidRPr="00000000">
              <w:rPr>
                <w:b w:val="1"/>
                <w:bCs w:val="1"/>
                <w:rtl w:val="0"/>
              </w:rPr>
              <w:t xml:space="preserve">6. Anexos</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numPr>
          <w:ilvl w:val="0"/>
          <w:numId w:val="7"/>
        </w:numPr>
        <w:spacing w:after="200" w:line="276" w:lineRule="auto"/>
        <w:rPr>
          <w:rFonts w:ascii="Times New Roman" w:cs="Times New Roman" w:eastAsia="Times New Roman" w:hAnsi="Times New Roman"/>
          <w:b w:val="1"/>
          <w:bCs w:val="1"/>
          <w:sz w:val="24"/>
          <w:szCs w:val="24"/>
        </w:rPr>
      </w:pPr>
      <w:bookmarkStart w:colFirst="0" w:colLast="0" w:name="_o8pyuslg91no" w:id="2"/>
      <w:bookmarkEnd w:id="2"/>
      <w:r w:rsidDel="00000000" w:rsidR="00000000" w:rsidRPr="00000000">
        <w:rPr>
          <w:rtl w:val="0"/>
        </w:rPr>
        <w:t xml:space="preserve">Descripción de la iniciativa</w:t>
      </w:r>
    </w:p>
    <w:p w:rsidR="00000000" w:rsidDel="00000000" w:rsidP="00000000" w:rsidRDefault="00000000" w:rsidRPr="00000000" w14:paraId="00000047">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iniciativa analizada se enmarca en un proyecto estratégico de expansión y reposicionamiento del Grupo LATAM Airlines </w:t>
      </w:r>
      <w:r w:rsidDel="00000000" w:rsidR="00000000" w:rsidRPr="00000000">
        <w:rPr>
          <w:rFonts w:ascii="Times New Roman" w:cs="Times New Roman" w:eastAsia="Times New Roman" w:hAnsi="Times New Roman"/>
          <w:sz w:val="24"/>
          <w:szCs w:val="24"/>
          <w:rtl w:val="0"/>
        </w:rPr>
        <w:t xml:space="preserve">(en adelante LATAM) </w:t>
      </w:r>
      <w:r w:rsidDel="00000000" w:rsidR="00000000" w:rsidRPr="00000000">
        <w:rPr>
          <w:rFonts w:ascii="Times New Roman" w:cs="Times New Roman" w:eastAsia="Times New Roman" w:hAnsi="Times New Roman"/>
          <w:sz w:val="24"/>
          <w:szCs w:val="24"/>
          <w:rtl w:val="0"/>
        </w:rPr>
        <w:t xml:space="preserve">dentro del mercado de vuelos nacionales en Brasil.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Este proyecto no es una simple adquisición de activos, sino la creación de una nueva capacidad operativa mediante la incorporación y puesta en marcha de una flota dedicada de aviones para dicho mercado.</w:t>
      </w:r>
      <w:r w:rsidDel="00000000" w:rsidR="00000000" w:rsidRPr="00000000">
        <w:rPr>
          <w:rFonts w:ascii="Times New Roman" w:cs="Times New Roman" w:eastAsia="Times New Roman" w:hAnsi="Times New Roman"/>
          <w:sz w:val="24"/>
          <w:szCs w:val="24"/>
          <w:rtl w:val="0"/>
        </w:rPr>
        <w:t xml:space="preserve"> El análisis presentado a continuación se basa principalmente en una entrevista semiestructurada realizada a Francisco </w:t>
      </w:r>
      <w:r w:rsidDel="00000000" w:rsidR="00000000" w:rsidRPr="00000000">
        <w:rPr>
          <w:rFonts w:ascii="Times New Roman" w:cs="Times New Roman" w:eastAsia="Times New Roman" w:hAnsi="Times New Roman"/>
          <w:sz w:val="24"/>
          <w:szCs w:val="24"/>
          <w:rtl w:val="0"/>
        </w:rPr>
        <w:t xml:space="preserve">Parulla</w:t>
      </w:r>
      <w:r w:rsidDel="00000000" w:rsidR="00000000" w:rsidRPr="00000000">
        <w:rPr>
          <w:rFonts w:ascii="Times New Roman" w:cs="Times New Roman" w:eastAsia="Times New Roman" w:hAnsi="Times New Roman"/>
          <w:sz w:val="24"/>
          <w:szCs w:val="24"/>
          <w:rtl w:val="0"/>
        </w:rPr>
        <w:t xml:space="preserve">, director del proyecto analizado.</w:t>
      </w:r>
    </w:p>
    <w:p w:rsidR="00000000" w:rsidDel="00000000" w:rsidP="00000000" w:rsidRDefault="00000000" w:rsidRPr="00000000" w14:paraId="00000048">
      <w:pPr>
        <w:widowControl w:val="0"/>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surge desde la Dirección de Flota y Proyectos, la cual reporta directamente a la Vicepresidencia de Finanzas, subrayando su importancia como una inversión de capital y una visión de crecimiento estratégico.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 esencia radica en una brecha competitiva crítica identificada en el mercado doméstico brasileño.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flota principal de LATAM, compuesta por aviones de mayor envergadura como el Airbus A320, Boeing 787, u otros, se encontraba limitada para operar eficientemente en una parte significativa de la infraestructura aeroportuaria de Brasil, caracterizada por pistas cortas y restricciones técnicas que impedían la plena utilización de la capacidad de la aerolínea.</w:t>
      </w:r>
      <w:r w:rsidDel="00000000" w:rsidR="00000000" w:rsidRPr="00000000">
        <w:rPr>
          <w:rtl w:val="0"/>
        </w:rPr>
      </w:r>
    </w:p>
    <w:p w:rsidR="00000000" w:rsidDel="00000000" w:rsidP="00000000" w:rsidRDefault="00000000" w:rsidRPr="00000000" w14:paraId="00000049">
      <w:pPr>
        <w:widowControl w:val="0"/>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la iniciativa se desarrolló para responder tanto a una necesidad organizacional como a una oportunidad del entorno. Por una parte, LATAM buscaba ampliar su cobertura y competitividad en rutas regionales o secundarias del mercado brasileño, donde su flota principal resultaba menos eficiente. Por otra parte, según lo señalado por Francisco </w:t>
      </w:r>
      <w:r w:rsidDel="00000000" w:rsidR="00000000" w:rsidRPr="00000000">
        <w:rPr>
          <w:rFonts w:ascii="Times New Roman" w:cs="Times New Roman" w:eastAsia="Times New Roman" w:hAnsi="Times New Roman"/>
          <w:sz w:val="24"/>
          <w:szCs w:val="24"/>
          <w:rtl w:val="0"/>
        </w:rPr>
        <w:t xml:space="preserve">Parulla</w:t>
      </w:r>
      <w:r w:rsidDel="00000000" w:rsidR="00000000" w:rsidRPr="00000000">
        <w:rPr>
          <w:rFonts w:ascii="Times New Roman" w:cs="Times New Roman" w:eastAsia="Times New Roman" w:hAnsi="Times New Roman"/>
          <w:sz w:val="24"/>
          <w:szCs w:val="24"/>
          <w:rtl w:val="0"/>
        </w:rPr>
        <w:t xml:space="preserve"> en la entrevista, el proyecto se vio impulsado por factores del ambiente externo, especialmente por una oportunidad de mercado excepcional: el fabricante aeronáutico brasileño Embraer S.A. ofreció a LATAM un conjunto de 20 aviones E195-E2 con un plazo de entrega y licitación extraordinariamente corto. Esta velocidad, apenas diez meses, es un factor determinante, dado que el estándar de la industria aeronáutica para la adquisición de nuevas aeronaves mediante licitación o pedido puede oscilar entre los tres y ocho años. Esta ventana de oportunidad de suministro a corto plazo convirtió la decisión en una imperativa estratégica y financiera. </w:t>
      </w:r>
    </w:p>
    <w:p w:rsidR="00000000" w:rsidDel="00000000" w:rsidP="00000000" w:rsidRDefault="00000000" w:rsidRPr="00000000" w14:paraId="0000004A">
      <w:pPr>
        <w:widowControl w:val="0"/>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mirada estratégica, la iniciativa no se limita a comprar nuevas aeronaves, sino que busca adaptar la capacidad operativa de LATAM a un segmento del mercado brasileño que su flota tradicional no atendía de manera eficiente. En ese sentido, el proyecto permite fortalecer la posición competitiva de la compañía mediante una flota más adecuada para rutas regionales, aeropuertos secundarios y condiciones operativas específicas. </w:t>
      </w:r>
    </w:p>
    <w:p w:rsidR="00000000" w:rsidDel="00000000" w:rsidP="00000000" w:rsidRDefault="00000000" w:rsidRPr="00000000" w14:paraId="0000004B">
      <w:pPr>
        <w:widowControl w:val="0"/>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sentido, las necesidades organizacionales que la iniciativa busca satisfacer son principalmente cuatro: ampliar la presencia de LATAM en el mercado doméstico brasileño, adaptar su capacidad operativa a las condiciones reales de ese mercado, capturar nueva demanda en rutas hasta ahora poco accesibles para su flota principal y fortalecer su posicionamiento competitivo en Brasil mediante una expansión rápida y focalizada. Estas necesidades se relacionan tanto con el crecimiento de la compañía como con su capacidad de responder de manera más precisa a las restricciones y oportunidades del entorno. </w:t>
      </w:r>
    </w:p>
    <w:p w:rsidR="00000000" w:rsidDel="00000000" w:rsidP="00000000" w:rsidRDefault="00000000" w:rsidRPr="00000000" w14:paraId="0000004C">
      <w:pPr>
        <w:widowControl w:val="0"/>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con la entrevista realizada a Francisco </w:t>
      </w:r>
      <w:r w:rsidDel="00000000" w:rsidR="00000000" w:rsidRPr="00000000">
        <w:rPr>
          <w:rFonts w:ascii="Times New Roman" w:cs="Times New Roman" w:eastAsia="Times New Roman" w:hAnsi="Times New Roman"/>
          <w:sz w:val="24"/>
          <w:szCs w:val="24"/>
          <w:rtl w:val="0"/>
        </w:rPr>
        <w:t xml:space="preserve">Parulla</w:t>
      </w:r>
      <w:r w:rsidDel="00000000" w:rsidR="00000000" w:rsidRPr="00000000">
        <w:rPr>
          <w:rFonts w:ascii="Times New Roman" w:cs="Times New Roman" w:eastAsia="Times New Roman" w:hAnsi="Times New Roman"/>
          <w:sz w:val="24"/>
          <w:szCs w:val="24"/>
          <w:rtl w:val="0"/>
        </w:rPr>
        <w:t xml:space="preserve">, e</w:t>
      </w:r>
      <w:r w:rsidDel="00000000" w:rsidR="00000000" w:rsidRPr="00000000">
        <w:rPr>
          <w:rFonts w:ascii="Times New Roman" w:cs="Times New Roman" w:eastAsia="Times New Roman" w:hAnsi="Times New Roman"/>
          <w:sz w:val="24"/>
          <w:szCs w:val="24"/>
          <w:rtl w:val="0"/>
        </w:rPr>
        <w:t xml:space="preserve">l proyecto, denominado Entry into Service (EiS), abarca la totalidad del proceso, desde la concepción inicial hasta la plena operatividad comercial de la nueva flota.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 ejecución es de una complejidad multidimensional y se estructura en quince frentes de trabajo críticos que deben converger en un cronograma extremadamente ajustado.</w:t>
      </w:r>
      <w:r w:rsidDel="00000000" w:rsidR="00000000" w:rsidRPr="00000000">
        <w:rPr>
          <w:rFonts w:ascii="Times New Roman" w:cs="Times New Roman" w:eastAsia="Times New Roman" w:hAnsi="Times New Roman"/>
          <w:sz w:val="24"/>
          <w:szCs w:val="24"/>
          <w:rtl w:val="0"/>
        </w:rPr>
        <w:t xml:space="preserve"> Algunos de estos frentes son los siguientes:</w:t>
      </w:r>
    </w:p>
    <w:p w:rsidR="00000000" w:rsidDel="00000000" w:rsidP="00000000" w:rsidRDefault="00000000" w:rsidRPr="00000000" w14:paraId="0000004D">
      <w:pPr>
        <w:widowControl w:val="0"/>
        <w:numPr>
          <w:ilvl w:val="0"/>
          <w:numId w:val="11"/>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Técnica de Cabina y Sistemas: Adaptación de los interiores, galleys y sistemas de entretenimiento a los estándares y requerimientos de LATAM.</w:t>
      </w:r>
      <w:r w:rsidDel="00000000" w:rsidR="00000000" w:rsidRPr="00000000">
        <w:rPr>
          <w:rtl w:val="0"/>
        </w:rPr>
      </w:r>
    </w:p>
    <w:p w:rsidR="00000000" w:rsidDel="00000000" w:rsidP="00000000" w:rsidRDefault="00000000" w:rsidRPr="00000000" w14:paraId="0000004E">
      <w:pPr>
        <w:widowControl w:val="0"/>
        <w:numPr>
          <w:ilvl w:val="0"/>
          <w:numId w:val="11"/>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Certificación y Regulatorio (ANAC): Obtención de la aprobación por parte de la Agencia Nacional de Aviación Civil de Brasil para la operación del nuevo tipo de aeronave.</w:t>
      </w:r>
      <w:r w:rsidDel="00000000" w:rsidR="00000000" w:rsidRPr="00000000">
        <w:rPr>
          <w:rtl w:val="0"/>
        </w:rPr>
      </w:r>
    </w:p>
    <w:p w:rsidR="00000000" w:rsidDel="00000000" w:rsidP="00000000" w:rsidRDefault="00000000" w:rsidRPr="00000000" w14:paraId="0000004F">
      <w:pPr>
        <w:widowControl w:val="0"/>
        <w:numPr>
          <w:ilvl w:val="0"/>
          <w:numId w:val="11"/>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Operaciones: Desarrollo de procedimientos de vuelo, mantenimiento y logística específicos para el E195-E2.</w:t>
      </w:r>
      <w:r w:rsidDel="00000000" w:rsidR="00000000" w:rsidRPr="00000000">
        <w:rPr>
          <w:rtl w:val="0"/>
        </w:rPr>
      </w:r>
    </w:p>
    <w:p w:rsidR="00000000" w:rsidDel="00000000" w:rsidP="00000000" w:rsidRDefault="00000000" w:rsidRPr="00000000" w14:paraId="00000050">
      <w:pPr>
        <w:widowControl w:val="0"/>
        <w:numPr>
          <w:ilvl w:val="0"/>
          <w:numId w:val="11"/>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Capacitación de Tripulaciones (Pilotos y Cabina): Diseño e implementación de programas de </w:t>
      </w:r>
      <w:r w:rsidDel="00000000" w:rsidR="00000000" w:rsidRPr="00000000">
        <w:rPr>
          <w:rFonts w:ascii="Times New Roman" w:cs="Times New Roman" w:eastAsia="Times New Roman" w:hAnsi="Times New Roman"/>
          <w:i w:val="1"/>
          <w:iCs w:val="1"/>
          <w:sz w:val="24"/>
          <w:szCs w:val="24"/>
          <w:rtl w:val="0"/>
        </w:rPr>
        <w:t xml:space="preserve">training</w:t>
      </w:r>
      <w:r w:rsidDel="00000000" w:rsidR="00000000" w:rsidRPr="00000000">
        <w:rPr>
          <w:rFonts w:ascii="Times New Roman" w:cs="Times New Roman" w:eastAsia="Times New Roman" w:hAnsi="Times New Roman"/>
          <w:sz w:val="24"/>
          <w:szCs w:val="24"/>
          <w:rtl w:val="0"/>
        </w:rPr>
        <w:t xml:space="preserve"> acelerados para el personal técnico y de servicio.</w:t>
      </w:r>
      <w:r w:rsidDel="00000000" w:rsidR="00000000" w:rsidRPr="00000000">
        <w:rPr>
          <w:rtl w:val="0"/>
        </w:rPr>
      </w:r>
    </w:p>
    <w:p w:rsidR="00000000" w:rsidDel="00000000" w:rsidP="00000000" w:rsidRDefault="00000000" w:rsidRPr="00000000" w14:paraId="00000051">
      <w:pPr>
        <w:widowControl w:val="0"/>
        <w:numPr>
          <w:ilvl w:val="0"/>
          <w:numId w:val="11"/>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Logística de Piezas y Repuestos: Establecimiento de la cadena de suministro y </w:t>
      </w:r>
      <w:r w:rsidDel="00000000" w:rsidR="00000000" w:rsidRPr="00000000">
        <w:rPr>
          <w:rFonts w:ascii="Times New Roman" w:cs="Times New Roman" w:eastAsia="Times New Roman" w:hAnsi="Times New Roman"/>
          <w:i w:val="1"/>
          <w:iCs w:val="1"/>
          <w:sz w:val="24"/>
          <w:szCs w:val="24"/>
          <w:rtl w:val="0"/>
        </w:rPr>
        <w:t xml:space="preserve">stock</w:t>
      </w:r>
      <w:r w:rsidDel="00000000" w:rsidR="00000000" w:rsidRPr="00000000">
        <w:rPr>
          <w:rFonts w:ascii="Times New Roman" w:cs="Times New Roman" w:eastAsia="Times New Roman" w:hAnsi="Times New Roman"/>
          <w:sz w:val="24"/>
          <w:szCs w:val="24"/>
          <w:rtl w:val="0"/>
        </w:rPr>
        <w:t xml:space="preserve"> inicial de componentes esenciales.</w:t>
      </w:r>
      <w:r w:rsidDel="00000000" w:rsidR="00000000" w:rsidRPr="00000000">
        <w:rPr>
          <w:rtl w:val="0"/>
        </w:rPr>
      </w:r>
    </w:p>
    <w:p w:rsidR="00000000" w:rsidDel="00000000" w:rsidP="00000000" w:rsidRDefault="00000000" w:rsidRPr="00000000" w14:paraId="00000052">
      <w:pPr>
        <w:widowControl w:val="0"/>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los pasos que se han seguido para implementar la iniciativa no se limitan a la compra de aeronaves, sino que incluyen también la adaptación técnica, regulatoria, operativa y logística necesaria para asegurar su entrada en servicio efectiva. Por otro lado, la meta de implementar una flota completa en menos de diez meses representa un desafío significativo a las rutinas organizacionales establecidas de LATAM. Exige un nivel de coordinación extrema y una gestión de cambio rigurosa entre departamentos que, en condiciones normales, operan bajo lógicas y prioridades funcionales distintas, por ejemplo, la rapidez del área comercial frente a la rigurosidad del área de seguridad.</w:t>
      </w:r>
      <w:r w:rsidDel="00000000" w:rsidR="00000000" w:rsidRPr="00000000">
        <w:rPr>
          <w:rtl w:val="0"/>
        </w:rPr>
      </w:r>
    </w:p>
    <w:p w:rsidR="00000000" w:rsidDel="00000000" w:rsidP="00000000" w:rsidRDefault="00000000" w:rsidRPr="00000000" w14:paraId="00000053">
      <w:pPr>
        <w:widowControl w:val="0"/>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lo señalado por Francisco </w:t>
      </w:r>
      <w:r w:rsidDel="00000000" w:rsidR="00000000" w:rsidRPr="00000000">
        <w:rPr>
          <w:rFonts w:ascii="Times New Roman" w:cs="Times New Roman" w:eastAsia="Times New Roman" w:hAnsi="Times New Roman"/>
          <w:sz w:val="24"/>
          <w:szCs w:val="24"/>
          <w:rtl w:val="0"/>
        </w:rPr>
        <w:t xml:space="preserve">Parulla</w:t>
      </w:r>
      <w:r w:rsidDel="00000000" w:rsidR="00000000" w:rsidRPr="00000000">
        <w:rPr>
          <w:rFonts w:ascii="Times New Roman" w:cs="Times New Roman" w:eastAsia="Times New Roman" w:hAnsi="Times New Roman"/>
          <w:sz w:val="24"/>
          <w:szCs w:val="24"/>
          <w:rtl w:val="0"/>
        </w:rPr>
        <w:t xml:space="preserve">, la gestión de stakeholders internos es un aspecto central del proyecto. Entre los actores más relevantes se encuentran la Dirección de Flota y Proyectos, la Vicepresidencia de Finanzas, el área Comercial, Mantenimiento, Seguridad y Operaciones. Cada una de estas áreas participa desde prioridades distintas: Comercial busca acelerar la captura de mercado; Mantenimiento procura asegurar disponibilidad técnica; y Seguridad y Operaciones priorizan la reducción de riesgos, la certificación y la capacitación rigurosa. </w:t>
      </w:r>
    </w:p>
    <w:p w:rsidR="00000000" w:rsidDel="00000000" w:rsidP="00000000" w:rsidRDefault="00000000" w:rsidRPr="00000000" w14:paraId="00000054">
      <w:pPr>
        <w:widowControl w:val="0"/>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de acuerdo con Francisco </w:t>
      </w:r>
      <w:r w:rsidDel="00000000" w:rsidR="00000000" w:rsidRPr="00000000">
        <w:rPr>
          <w:rFonts w:ascii="Times New Roman" w:cs="Times New Roman" w:eastAsia="Times New Roman" w:hAnsi="Times New Roman"/>
          <w:sz w:val="24"/>
          <w:szCs w:val="24"/>
          <w:rtl w:val="0"/>
        </w:rPr>
        <w:t xml:space="preserve">Parulla</w:t>
      </w:r>
      <w:r w:rsidDel="00000000" w:rsidR="00000000" w:rsidRPr="00000000">
        <w:rPr>
          <w:rFonts w:ascii="Times New Roman" w:cs="Times New Roman" w:eastAsia="Times New Roman" w:hAnsi="Times New Roman"/>
          <w:sz w:val="24"/>
          <w:szCs w:val="24"/>
          <w:rtl w:val="0"/>
        </w:rPr>
        <w:t xml:space="preserve">, el ecosistema de stakeholders se extiende además a una vasta red de actores externos. Entre ellos se encuentran Embraer como fabricante, la ANAC como organismo regulador, más de 47.000 proveedores que ofrecen servicios, piezas, formación y soporte logístico, la mesa de directivos encargada de la supervisión y aprobación estratégica, los inversionistas interesados en el retorno de la inversión y, de manera más amplia, los clientes del mercado doméstico brasileño. Así, la iniciativa involucra una red compleja de actores cuyo alineamiento resulta indispensable para el éxito del proyecto.</w:t>
      </w:r>
    </w:p>
    <w:p w:rsidR="00000000" w:rsidDel="00000000" w:rsidP="00000000" w:rsidRDefault="00000000" w:rsidRPr="00000000" w14:paraId="00000055">
      <w:pPr>
        <w:widowControl w:val="0"/>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lo indicado por Francisco </w:t>
      </w:r>
      <w:r w:rsidDel="00000000" w:rsidR="00000000" w:rsidRPr="00000000">
        <w:rPr>
          <w:rFonts w:ascii="Times New Roman" w:cs="Times New Roman" w:eastAsia="Times New Roman" w:hAnsi="Times New Roman"/>
          <w:sz w:val="24"/>
          <w:szCs w:val="24"/>
          <w:rtl w:val="0"/>
        </w:rPr>
        <w:t xml:space="preserve">Parulla</w:t>
      </w:r>
      <w:r w:rsidDel="00000000" w:rsidR="00000000" w:rsidRPr="00000000">
        <w:rPr>
          <w:rFonts w:ascii="Times New Roman" w:cs="Times New Roman" w:eastAsia="Times New Roman" w:hAnsi="Times New Roman"/>
          <w:sz w:val="24"/>
          <w:szCs w:val="24"/>
          <w:rtl w:val="0"/>
        </w:rPr>
        <w:t xml:space="preserve">, actualmente el proyecto se encuentra en una etapa media de licitación de los aviones, sin embargo, la información detallada sobre la negociación y los términos contractuales con Embraer es de carácter confidencial, limitando la visibilidad pública del avance específico en esta fase. </w:t>
      </w:r>
      <w:r w:rsidDel="00000000" w:rsidR="00000000" w:rsidRPr="00000000">
        <w:rPr>
          <w:rtl w:val="0"/>
        </w:rPr>
      </w:r>
    </w:p>
    <w:p w:rsidR="00000000" w:rsidDel="00000000" w:rsidP="00000000" w:rsidRDefault="00000000" w:rsidRPr="00000000" w14:paraId="00000056">
      <w:pPr>
        <w:widowControl w:val="0"/>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síntesis, los objetivos principales de la iniciativa son incorporar una flota adecuada a las condiciones del mercado doméstico brasileño, habilitar a LATAM para operar rutas regionales y secundarias que antes no podía atender eficientemente, ejecutar esta expansión en un plazo extraordinariamente corto y fortalecer la posición competitiva de la compañía en Brasil a través de una estrategia de diferenciación basada en la adecuación operativa de sus activos.</w:t>
      </w:r>
    </w:p>
    <w:p w:rsidR="00000000" w:rsidDel="00000000" w:rsidP="00000000" w:rsidRDefault="00000000" w:rsidRPr="00000000" w14:paraId="00000057">
      <w:pPr>
        <w:pStyle w:val="Heading1"/>
        <w:numPr>
          <w:ilvl w:val="0"/>
          <w:numId w:val="7"/>
        </w:numPr>
        <w:spacing w:after="200" w:line="276" w:lineRule="auto"/>
        <w:rPr>
          <w:rFonts w:ascii="Times New Roman" w:cs="Times New Roman" w:eastAsia="Times New Roman" w:hAnsi="Times New Roman"/>
          <w:b w:val="1"/>
          <w:bCs w:val="1"/>
          <w:sz w:val="24"/>
          <w:szCs w:val="24"/>
        </w:rPr>
      </w:pPr>
      <w:bookmarkStart w:colFirst="0" w:colLast="0" w:name="_myjir4pn9p71" w:id="3"/>
      <w:bookmarkEnd w:id="3"/>
      <w:r w:rsidDel="00000000" w:rsidR="00000000" w:rsidRPr="00000000">
        <w:rPr>
          <w:rtl w:val="0"/>
        </w:rPr>
        <w:t xml:space="preserve">Conexión con lo que está sucediendo en la organización</w:t>
      </w:r>
    </w:p>
    <w:p w:rsidR="00000000" w:rsidDel="00000000" w:rsidP="00000000" w:rsidRDefault="00000000" w:rsidRPr="00000000" w14:paraId="00000058">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la flota Embraer permite observar cómo LATAM combina una estructura corporativa tradicional con formas más ágiles y transversales de gestión. </w:t>
      </w:r>
    </w:p>
    <w:p w:rsidR="00000000" w:rsidDel="00000000" w:rsidP="00000000" w:rsidRDefault="00000000" w:rsidRPr="00000000" w14:paraId="00000059">
      <w:pPr>
        <w:pStyle w:val="Heading2"/>
        <w:numPr>
          <w:ilvl w:val="1"/>
          <w:numId w:val="7"/>
        </w:numPr>
        <w:spacing w:after="200" w:line="276" w:lineRule="auto"/>
        <w:rPr>
          <w:rFonts w:ascii="Times New Roman" w:cs="Times New Roman" w:eastAsia="Times New Roman" w:hAnsi="Times New Roman"/>
          <w:b w:val="1"/>
          <w:bCs w:val="1"/>
          <w:i w:val="1"/>
          <w:iCs w:val="1"/>
          <w:sz w:val="24"/>
          <w:szCs w:val="24"/>
        </w:rPr>
      </w:pPr>
      <w:bookmarkStart w:colFirst="0" w:colLast="0" w:name="_b5me2r122xxb" w:id="4"/>
      <w:bookmarkEnd w:id="4"/>
      <w:r w:rsidDel="00000000" w:rsidR="00000000" w:rsidRPr="00000000">
        <w:rPr>
          <w:rtl w:val="0"/>
        </w:rPr>
        <w:t xml:space="preserve">Organización en red</w:t>
      </w:r>
    </w:p>
    <w:p w:rsidR="00000000" w:rsidDel="00000000" w:rsidP="00000000" w:rsidRDefault="00000000" w:rsidRPr="00000000" w14:paraId="0000005A">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iniciativa opera bajo una lógica de organización en red caracterizada por la interdependencia recíproca. En lugar de un proceso secuencial de arriba hacia abajo, el proyecto requiere que quince frentes de trabajo interactúen simultáneamente en mesas transversales. Estos departamentos interactúan a través de un equipo multifuncional, compuesto por siete miembros principales que incluyen un gerente de entrada en servicio, tres jefes de proyecto (PMO) y tres ingenieros, quienes integran visiones operacionales, técnicas y corporativas. Por ejemplo, la decisión del área comercial sobre la densidad de asientos impacta inmediatamente en el peso y balance gestionado por ingeniería, lo que a su vez altera la planificación de combustible y los costos operativos. </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La estructura del equipo de proyecto se presenta en el Anexo A. En términos generales, se observa una célula reducida compuesta por un gerente de entrada en servicio, tres PMO y tres ingenieros de flota. Esta configuración permite concentrar la coordinación del proyecto en un equipo pequeño, lo que facilita la comunicación entre áreas y la resolución rápida de bloqueos.</w:t>
      </w:r>
      <w:r w:rsidDel="00000000" w:rsidR="00000000" w:rsidRPr="00000000">
        <w:rPr>
          <w:rtl w:val="0"/>
        </w:rPr>
      </w:r>
    </w:p>
    <w:p w:rsidR="00000000" w:rsidDel="00000000" w:rsidP="00000000" w:rsidRDefault="00000000" w:rsidRPr="00000000" w14:paraId="0000005C">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equipo de proyecto actúa como el nodo central de esta red, facilitando el flujo de información y asegurando que las decisiones de un área no generen cuellos de botella en las demás. La información se comparte y distribuye ampliamente a través de la organización mediante reportes mensuales ejecutivos y detallados que alinean a toda la compañía sobre los avances y decisiones tomadas. Horizontalmente, los PMO coordinan sus respectivos frentes de trabajo, mientras que verticalmente escalan discrepancias a niveles superiores para obtener definiciones cuando no hay consenso entre gerencias de distintas áreas. La cooperación se da en clusters o mesas de trabajo donde los límites departamentales se vuelven porosos, permitiendo que temas transversales como la ingeniería de operaciones o la experiencia del cliente involucren a múltiples actores de forma simultánea.</w:t>
      </w:r>
    </w:p>
    <w:p w:rsidR="00000000" w:rsidDel="00000000" w:rsidP="00000000" w:rsidRDefault="00000000" w:rsidRPr="00000000" w14:paraId="0000005D">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la organización ha desarrollado estrechas relaciones con proveedores y actores externos clave, particularmente con Embraer, la ANAC y proveedores especializados de componentes, soporte técnico y logística, ya que su participación es indispensable para implementar la nueva flota dentro del plazo exigido. Asimismo, la iniciativa ha dado lugar a redes de cooperación con otras organizaciones con el propósito de coordinar certificaciones, asegurar suministros críticos, adaptar las aeronaves a los estándares de LATAM y viabilizar su entrada en servicio en el mercado brasileño. De este modo, estas relaciones no solo apoyan operativamente el proyecto, sino que también facilitan su ejecución en un contexto de alta complejidad y fuerte presión temporal. Esta red facilita la implementación acelerada, aunque aumenta la dependencia entre áreas y el riesgo de cuellos de botella. </w:t>
      </w:r>
    </w:p>
    <w:p w:rsidR="00000000" w:rsidDel="00000000" w:rsidP="00000000" w:rsidRDefault="00000000" w:rsidRPr="00000000" w14:paraId="0000005E">
      <w:pPr>
        <w:pStyle w:val="Heading2"/>
        <w:numPr>
          <w:ilvl w:val="1"/>
          <w:numId w:val="7"/>
        </w:numPr>
        <w:spacing w:after="200" w:line="276" w:lineRule="auto"/>
        <w:rPr>
          <w:rFonts w:ascii="Times New Roman" w:cs="Times New Roman" w:eastAsia="Times New Roman" w:hAnsi="Times New Roman"/>
          <w:b w:val="1"/>
          <w:bCs w:val="1"/>
          <w:i w:val="1"/>
          <w:iCs w:val="1"/>
          <w:sz w:val="24"/>
          <w:szCs w:val="24"/>
        </w:rPr>
      </w:pPr>
      <w:bookmarkStart w:colFirst="0" w:colLast="0" w:name="_9a69denat0vo" w:id="5"/>
      <w:bookmarkEnd w:id="5"/>
      <w:r w:rsidDel="00000000" w:rsidR="00000000" w:rsidRPr="00000000">
        <w:rPr>
          <w:rtl w:val="0"/>
        </w:rPr>
        <w:t xml:space="preserve">Organización plana</w:t>
      </w:r>
    </w:p>
    <w:p w:rsidR="00000000" w:rsidDel="00000000" w:rsidP="00000000" w:rsidRDefault="00000000" w:rsidRPr="00000000" w14:paraId="0000005F">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ejecutar este proyecto, LATAM ha creado una estructura temporal más horizontal mediante la creación de un equipo especial de siete personas. En la estructura corporativa general existen aproximadamente seis niveles de jerarquía, desde los analistas hasta la vicepresidencia de finanzas, con líneas de autoridad claramente establecidas por posición. Sin embargo, para esta iniciativa se ha optado por una estructura mucho más directa donde el equipo de proyecto reporta directamente a la dirección de flota y a la gerencia de entrada en servicio. Según Xu et al. (2022), este tipo de estructuras pequeñas y horizontales tienden a favorecer mayores niveles de innovación y agilidad. Al reducir la cantidad de niveles jerárquicos entre el ejecutor y el tomador de decisiones, el equipo de proyecto adquiere un nivel de autonomía denominado pase libre o pase de gol. Esto significa que los jefes de proyecto tienen autoridad para definir procesos nuevos que el resto de la organización debe acatar, permitiéndoles saltarse conductos regulares para contactar directamente a cualquier área de la compañía que sea crítica para el avance (Xu et al., 2022).</w:t>
      </w:r>
    </w:p>
    <w:p w:rsidR="00000000" w:rsidDel="00000000" w:rsidP="00000000" w:rsidRDefault="00000000" w:rsidRPr="00000000" w14:paraId="00000060">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ingenieros y PMO del equipo han sido empoderados para resolver problemas técnicos y logísticos sin depender de validaciones constantes de niveles superiores. Así, la jerarquía tradicional queda principalmente como mecanismo de escalamiento para conflictos que el equipo no puede destrabar por sí solo, mientras que la operación diaria se gestiona mediante coordinación directa, autonomía técnica y priorización estratégica.</w:t>
      </w:r>
    </w:p>
    <w:p w:rsidR="00000000" w:rsidDel="00000000" w:rsidP="00000000" w:rsidRDefault="00000000" w:rsidRPr="00000000" w14:paraId="00000061">
      <w:pPr>
        <w:pStyle w:val="Heading2"/>
        <w:numPr>
          <w:ilvl w:val="1"/>
          <w:numId w:val="7"/>
        </w:numPr>
        <w:spacing w:after="200" w:line="276" w:lineRule="auto"/>
        <w:rPr>
          <w:rFonts w:ascii="Times New Roman" w:cs="Times New Roman" w:eastAsia="Times New Roman" w:hAnsi="Times New Roman"/>
          <w:b w:val="1"/>
          <w:bCs w:val="1"/>
          <w:i w:val="1"/>
          <w:iCs w:val="1"/>
          <w:sz w:val="24"/>
          <w:szCs w:val="24"/>
        </w:rPr>
      </w:pPr>
      <w:bookmarkStart w:colFirst="0" w:colLast="0" w:name="_rw5v2zopxqbj" w:id="6"/>
      <w:bookmarkEnd w:id="6"/>
      <w:r w:rsidDel="00000000" w:rsidR="00000000" w:rsidRPr="00000000">
        <w:rPr>
          <w:rtl w:val="0"/>
        </w:rPr>
        <w:t xml:space="preserve">Organización flexible</w:t>
      </w:r>
    </w:p>
    <w:p w:rsidR="00000000" w:rsidDel="00000000" w:rsidP="00000000" w:rsidRDefault="00000000" w:rsidRPr="00000000" w14:paraId="00000062">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flexibilidad de la iniciativa se manifiesta en su capacidad de adaptación contingente. Según lo señalado por Francisco </w:t>
      </w:r>
      <w:r w:rsidDel="00000000" w:rsidR="00000000" w:rsidRPr="00000000">
        <w:rPr>
          <w:rFonts w:ascii="Times New Roman" w:cs="Times New Roman" w:eastAsia="Times New Roman" w:hAnsi="Times New Roman"/>
          <w:sz w:val="24"/>
          <w:szCs w:val="24"/>
          <w:rtl w:val="0"/>
        </w:rPr>
        <w:t xml:space="preserve">Parulla</w:t>
      </w:r>
      <w:r w:rsidDel="00000000" w:rsidR="00000000" w:rsidRPr="00000000">
        <w:rPr>
          <w:rFonts w:ascii="Times New Roman" w:cs="Times New Roman" w:eastAsia="Times New Roman" w:hAnsi="Times New Roman"/>
          <w:sz w:val="24"/>
          <w:szCs w:val="24"/>
          <w:rtl w:val="0"/>
        </w:rPr>
        <w:t xml:space="preserve">, la organización ha tenido que flexibilizar sus manuales operativos y tiempos de respuesta habituales para cumplir con el plazo de diez meses, reduciendo significativamente el ciclo estándar de incorporación de flota que suele durar cerca de dos años. Si bien la compañía está gobernada por reglas formales y procedimientos de operación rigurosos debido a la naturaleza crítica de la industria aeronáutica, para este proyecto se han desarrollado procedimientos de vía rápida que permiten agilizar procesos internos sin alterar los estándares críticos de seguridad y cumplimiento. Como mencionan Pfeffer y Sutton (2006) en su análisis sobre la gestión basada en la evidencia, el equipo utiliza datos técnicos y proyecciones de demanda en tiempo real para ajustar la estrategia de implementación, en lugar de seguir ciegamente tradiciones pasadas.</w:t>
      </w:r>
    </w:p>
    <w:p w:rsidR="00000000" w:rsidDel="00000000" w:rsidP="00000000" w:rsidRDefault="00000000" w:rsidRPr="00000000" w14:paraId="00000063">
      <w:pPr>
        <w:spacing w:after="200" w:before="200" w:lineRule="auto"/>
        <w:ind w:firstLine="720.000000000000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La diferencia entre el plazo habitual de incorporación de una flota y el plazo objetivo de esta iniciativa se resume en el Anexo B. Esta comparación permite visualizar la presión temporal del proyecto: mientras un proceso estándar puede tomar cerca de 24 meses, la iniciativa analizada busca completarse en aproximadamente 10 meses. Por lo mismo, la flexibilidad organizacional no aparece como un elemento accesorio, sino como una condición necesaria para cumplir el objetivo. </w:t>
      </w:r>
      <w:r w:rsidDel="00000000" w:rsidR="00000000" w:rsidRPr="00000000">
        <w:rPr>
          <w:rtl w:val="0"/>
        </w:rPr>
      </w:r>
    </w:p>
    <w:p w:rsidR="00000000" w:rsidDel="00000000" w:rsidP="00000000" w:rsidRDefault="00000000" w:rsidRPr="00000000" w14:paraId="00000064">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ajustarse y conocer las diferentes demandas de los clientes, la organización integra al área comercial desde el inicio para definir la configuración de la cabina o LOPA (Layout of Passenger Accommodations). Esto asegura que la densidad de asientos y el confort respondan directamente a las necesidades del mercado. Asimismo, la organización ha seguido el paso de los cambios tecnológicos mediante la incorporación de aeronaves de última generación como el Embraer E2, lo cual implica una actualización técnica constante en mantenimiento, ingeniería de operaciones y entrenamiento de tripulaciones para manejar nuevos sistemas de aviónica y motores más eficientes.</w:t>
      </w:r>
    </w:p>
    <w:p w:rsidR="00000000" w:rsidDel="00000000" w:rsidP="00000000" w:rsidRDefault="00000000" w:rsidRPr="00000000" w14:paraId="00000065">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flexibilidad permite negociar trade-offs críticos: por ejemplo, equilibrar la agresividad comercial de las rutas con la capacidad técnica de mantenimiento para recibir los aviones. La mano de obra se utiliza de forma flexible mediante la conformación de células de trabajo transversales que responden a condiciones del entorno cambiantes, como la volatilidad del precio del combustible o la disponibilidad limitada de espacios en los hangares de proveedores externos.</w:t>
      </w:r>
    </w:p>
    <w:p w:rsidR="00000000" w:rsidDel="00000000" w:rsidP="00000000" w:rsidRDefault="00000000" w:rsidRPr="00000000" w14:paraId="00000066">
      <w:pPr>
        <w:pStyle w:val="Heading2"/>
        <w:numPr>
          <w:ilvl w:val="1"/>
          <w:numId w:val="7"/>
        </w:numPr>
        <w:spacing w:after="200" w:line="276" w:lineRule="auto"/>
        <w:rPr>
          <w:rFonts w:ascii="Times New Roman" w:cs="Times New Roman" w:eastAsia="Times New Roman" w:hAnsi="Times New Roman"/>
          <w:b w:val="1"/>
          <w:bCs w:val="1"/>
          <w:i w:val="1"/>
          <w:iCs w:val="1"/>
          <w:sz w:val="24"/>
          <w:szCs w:val="24"/>
        </w:rPr>
      </w:pPr>
      <w:bookmarkStart w:colFirst="0" w:colLast="0" w:name="_1cufxg3nqekn" w:id="7"/>
      <w:bookmarkEnd w:id="7"/>
      <w:r w:rsidDel="00000000" w:rsidR="00000000" w:rsidRPr="00000000">
        <w:rPr>
          <w:rtl w:val="0"/>
        </w:rPr>
        <w:t xml:space="preserve">Organización diversa</w:t>
      </w:r>
    </w:p>
    <w:p w:rsidR="00000000" w:rsidDel="00000000" w:rsidP="00000000" w:rsidRDefault="00000000" w:rsidRPr="00000000" w14:paraId="00000067">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de la iniciativa revela la complejidad de la diversidad en una organización multinacional. El equipo integra profesionales de Chile, Brasil y Colombia, lo que introduce una diversidad cultural que va más allá de lo demográfico. Si bien existe una identidad corporativa general, la organización no se rige por una sola cultura fuerte que exija conformidad absoluta; por el contrario, debe convivir con las particularidades de cada hub regional. Por ejemplo, en la entrevista se destaca la diferencia entre la cultura brasileña, descrita como más apasionada y emocional en su enfoque operativo, frente a una cultura corporativa central que busca mayor estructura. Esta apertura a diferentes realidades se manifiesta en la integración de equipos que deben colaborar a pesar de sus distintos estilos de trabajo y comunicación.</w:t>
      </w:r>
    </w:p>
    <w:p w:rsidR="00000000" w:rsidDel="00000000" w:rsidP="00000000" w:rsidRDefault="00000000" w:rsidRPr="00000000" w14:paraId="00000068">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proyecto, una gestión efectiva no depende sólo de aspectos formales, sino también de la capacidad de comprender los distintos estilos de comunicación y compromiso presentes entre los equipos. Los miembros de la organización intentan desarrollar una fuerza de trabajo más heterogénea al involucrar activamente a líderes de diversas nacionalidades en la toma de decisiones. Un ejemplo concreto es el liderazgo de la gerencia de entrada en servicio, que en este caso es encabezado por una mujer en un rol técnico estratégico, lo que evidencia un avance hacia la diversidad de género en posiciones que históricamente han sido masculinas dentro de la industria aeronáutica.</w:t>
      </w:r>
    </w:p>
    <w:p w:rsidR="00000000" w:rsidDel="00000000" w:rsidP="00000000" w:rsidRDefault="00000000" w:rsidRPr="00000000" w14:paraId="00000069">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entrevista se menciona que algunos equipos son más asertivos, mientras que otros requieren procesos de validación más explícitos. Por ello, el equipo de proyecto ha debido armonizar estilos de comunicación distintos, transformando la diversidad regional en una fortaleza para comprender el mercado brasileño, pero manteniendo una disciplina de ejecución que evite desalineamientos. </w:t>
      </w:r>
    </w:p>
    <w:p w:rsidR="00000000" w:rsidDel="00000000" w:rsidP="00000000" w:rsidRDefault="00000000" w:rsidRPr="00000000" w14:paraId="0000006A">
      <w:pPr>
        <w:pStyle w:val="Heading2"/>
        <w:numPr>
          <w:ilvl w:val="1"/>
          <w:numId w:val="7"/>
        </w:numPr>
        <w:spacing w:after="200" w:line="276" w:lineRule="auto"/>
        <w:rPr>
          <w:rFonts w:ascii="Times New Roman" w:cs="Times New Roman" w:eastAsia="Times New Roman" w:hAnsi="Times New Roman"/>
          <w:b w:val="1"/>
          <w:bCs w:val="1"/>
          <w:i w:val="1"/>
          <w:iCs w:val="1"/>
          <w:sz w:val="24"/>
          <w:szCs w:val="24"/>
        </w:rPr>
      </w:pPr>
      <w:bookmarkStart w:colFirst="0" w:colLast="0" w:name="_p6h35xtrrdr7" w:id="8"/>
      <w:bookmarkEnd w:id="8"/>
      <w:r w:rsidDel="00000000" w:rsidR="00000000" w:rsidRPr="00000000">
        <w:rPr>
          <w:rtl w:val="0"/>
        </w:rPr>
        <w:t xml:space="preserve">Organización global e internacional</w:t>
      </w:r>
    </w:p>
    <w:p w:rsidR="00000000" w:rsidDel="00000000" w:rsidP="00000000" w:rsidRDefault="00000000" w:rsidRPr="00000000" w14:paraId="0000006B">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LATAM ejemplifica la tensión entre la estandarización global y la adaptación local en una industria que por definición no conoce fronteras. La organización se define como una entidad global con operaciones diversificadas en múltiples países de Sudamérica y cotización en mercados internacionales como la bolsa de Nueva York, lo que le exige estándares de transparencia y eficiencia de clase mundial. La iniciativa es global porque se basa en una estrategia de flota corporativa centralizada, donde las decisiones de inversión y adquisición de activos se toman desde una perspectiva de holding. Sin embargo, es localmente intensa porque debe cumplir con las regulaciones específicas de la ANAC en Brasil y las particularidades operativas de los aeropuertos regionales donde operará el modelo Embraer E2.</w:t>
      </w:r>
    </w:p>
    <w:p w:rsidR="00000000" w:rsidDel="00000000" w:rsidP="00000000" w:rsidRDefault="00000000" w:rsidRPr="00000000" w14:paraId="0000006C">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dualidad internacional obliga a la organización a mantener una estructura de gobernanza donde las directrices financieras y estratégicas vienen de la matriz, pero la ejecución operativa se delega en equipos que conocen el terreno. La organización ha desarrollado redes que se extienden mucho más allá del mercado nacional con el propósito de integrar una cadena de valor altamente especializada. Se han establecido lazos internacionales estratégicos no solo con el fabricante Embraer en Brasil, sino con una red de aproximadamente 43 proveedores globales distribuidos por todo el mundo, encargados de suministrar desde motores y aviónica hasta los sistemas de entretenimiento a bordo. Estos vínculos son necesarios porque la complejidad técnica del avión requiere componentes que ningún mercado local puede proveer por sí solo, obligando a LATAM a gestionar una logística internacional de entrada en servicio que coordina tiempos de entrega y certificaciones en diversos husos horarios y marcos legales.</w:t>
      </w:r>
    </w:p>
    <w:p w:rsidR="00000000" w:rsidDel="00000000" w:rsidP="00000000" w:rsidRDefault="00000000" w:rsidRPr="00000000" w14:paraId="0000006D">
      <w:pPr>
        <w:spacing w:after="200" w:before="200" w:lineRule="auto"/>
        <w:ind w:firstLine="720.0000000000001"/>
        <w:jc w:val="both"/>
        <w:rPr/>
      </w:pPr>
      <w:r w:rsidDel="00000000" w:rsidR="00000000" w:rsidRPr="00000000">
        <w:rPr>
          <w:rFonts w:ascii="Times New Roman" w:cs="Times New Roman" w:eastAsia="Times New Roman" w:hAnsi="Times New Roman"/>
          <w:sz w:val="24"/>
          <w:szCs w:val="24"/>
          <w:rtl w:val="0"/>
        </w:rPr>
        <w:t xml:space="preserve">Estos lazos internacionales permiten mitigar riesgos técnicos, coordinar certificaciones y transferir aprendizajes hacia futuras expansiones de LATAM. De esta forma, el proyecto en Brasil funciona también como una experiencia piloto para ejecutar iniciativas de alta complejidad bajo estándares globales y adaptación local. </w:t>
      </w:r>
      <w:r w:rsidDel="00000000" w:rsidR="00000000" w:rsidRPr="00000000">
        <w:rPr>
          <w:rtl w:val="0"/>
        </w:rPr>
      </w:r>
    </w:p>
    <w:p w:rsidR="00000000" w:rsidDel="00000000" w:rsidP="00000000" w:rsidRDefault="00000000" w:rsidRPr="00000000" w14:paraId="0000006E">
      <w:pPr>
        <w:pStyle w:val="Heading1"/>
        <w:numPr>
          <w:ilvl w:val="0"/>
          <w:numId w:val="7"/>
        </w:numPr>
        <w:spacing w:after="200" w:line="276" w:lineRule="auto"/>
        <w:rPr>
          <w:rFonts w:ascii="Times New Roman" w:cs="Times New Roman" w:eastAsia="Times New Roman" w:hAnsi="Times New Roman"/>
          <w:b w:val="1"/>
          <w:bCs w:val="1"/>
          <w:sz w:val="24"/>
          <w:szCs w:val="24"/>
        </w:rPr>
      </w:pPr>
      <w:bookmarkStart w:colFirst="0" w:colLast="0" w:name="_9ki30366fjkm" w:id="9"/>
      <w:bookmarkEnd w:id="9"/>
      <w:r w:rsidDel="00000000" w:rsidR="00000000" w:rsidRPr="00000000">
        <w:rPr>
          <w:rtl w:val="0"/>
        </w:rPr>
        <w:t xml:space="preserve">Perspectivas de análisis de la iniciativa organizacional </w:t>
      </w:r>
    </w:p>
    <w:p w:rsidR="00000000" w:rsidDel="00000000" w:rsidP="00000000" w:rsidRDefault="00000000" w:rsidRPr="00000000" w14:paraId="0000006F">
      <w:pPr>
        <w:pStyle w:val="Heading2"/>
        <w:numPr>
          <w:ilvl w:val="1"/>
          <w:numId w:val="7"/>
        </w:numPr>
        <w:spacing w:after="200" w:line="276" w:lineRule="auto"/>
        <w:rPr>
          <w:rFonts w:ascii="Times New Roman" w:cs="Times New Roman" w:eastAsia="Times New Roman" w:hAnsi="Times New Roman"/>
          <w:b w:val="1"/>
          <w:bCs w:val="1"/>
          <w:i w:val="1"/>
          <w:iCs w:val="1"/>
          <w:sz w:val="24"/>
          <w:szCs w:val="24"/>
        </w:rPr>
      </w:pPr>
      <w:bookmarkStart w:colFirst="0" w:colLast="0" w:name="_1pm9dxlgk44e" w:id="10"/>
      <w:bookmarkEnd w:id="10"/>
      <w:r w:rsidDel="00000000" w:rsidR="00000000" w:rsidRPr="00000000">
        <w:rPr>
          <w:rtl w:val="0"/>
        </w:rPr>
        <w:t xml:space="preserve">Diseño Estratégico y Estructura Organizacional</w:t>
      </w:r>
    </w:p>
    <w:p w:rsidR="00000000" w:rsidDel="00000000" w:rsidP="00000000" w:rsidRDefault="00000000" w:rsidRPr="00000000" w14:paraId="00000070">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iniciativa de incorporación de la flota Embraer E195-E2 para el mercado doméstico brasileño puede ser entendida como una decisión estratégica porque no se limita a mejorar la eficiencia operacional de LATAM, sino que redefine parcialmente la forma en que la empresa busca competir en Brasil. Como se señaló en la descripción de la iniciativa, el proyecto es desafiante, y esta ventana transforma la decisión en un desafío estratégico, financiero y organizacional para LATAM. </w:t>
      </w:r>
    </w:p>
    <w:p w:rsidR="00000000" w:rsidDel="00000000" w:rsidP="00000000" w:rsidRDefault="00000000" w:rsidRPr="00000000" w14:paraId="00000071">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la perspectiva de Porter (1996), la estrategia no consiste simplemente en hacer mejor las mismas actividades que los competidores, sino en escoger una posición distinta y realizar un conjunto de actividades coherentes con esa posición. En este sentido, la iniciativa analizada no corresponde solamente a una mejora operacional, como podría ser reducir costos o acelerar procesos internos. Más bien, LATAM busca ocupar un espacio competitivo específico dentro del mercado brasileño: rutas regionales y secundarias que no son atendidas de manera eficiente con su flota tradicional de mayor tamaño. Así, la incorporación del E195-E2 permite adaptar los activos de la compañía a aeropuertos con restricciones de pista, menor demanda o condiciones operativas más específicas. En consecuencia, la estrategia se basa en crear una nueva capacidad competitiva, no únicamente en optimizar la operación existente.</w:t>
      </w:r>
    </w:p>
    <w:p w:rsidR="00000000" w:rsidDel="00000000" w:rsidP="00000000" w:rsidRDefault="00000000" w:rsidRPr="00000000" w14:paraId="00000072">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punto se relaciona también con lo planteado por Majluf, quien señala que una buena estrategia debe definir con claridad el foco competitivo, los clientes que se desea atender, la propuesta de valor y los negocios en los que la empresa quiere entrar o fortalecer. Además, una estrategia sólida debe identificar capacidades distintivas difíciles de imitar, tales como tecnología, logística, activos y formación del personal. En el caso de LATAM, el foco competitivo se observa en la decisión de profundizar su presencia en el mercado doméstico brasileño mediante una flota más adecuada a ese contexto. La propuesta de valor no se basa solamente en ofrecer más vuelos, sino en aumentar cobertura, frecuencia y eficiencia en rutas donde la flota actual presenta limitaciones. Por lo tanto, el proyecto permite alinear el crecimiento de LATAM con una lectura concreta del entorno competitivo brasileño.</w:t>
      </w:r>
    </w:p>
    <w:p w:rsidR="00000000" w:rsidDel="00000000" w:rsidP="00000000" w:rsidRDefault="00000000" w:rsidRPr="00000000" w14:paraId="00000073">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consistencia estratégica de la iniciativa se observa en tres niveles. Primero, responde a una necesidad de crecimiento en uno de los mercados más relevantes de la región. Segundo, aprovecha una oportunidad externa excepcional generada por Embraer, empresa brasileña con alta compatibilidad técnica y geográfica con el proyecto. Tercero, obliga a LATAM a desarrollar capacidades internas que pueden transformarse en aprendizaje organizacional para futuras expansiones. La iniciativa no sólo busca aumentar participación de mercado en Brasil, sino también fortalecer la capacidad de ejecutar proyectos complejos de entrada en servicio en plazos reducidos.</w:t>
      </w:r>
    </w:p>
    <w:p w:rsidR="00000000" w:rsidDel="00000000" w:rsidP="00000000" w:rsidRDefault="00000000" w:rsidRPr="00000000" w14:paraId="00000074">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para que la estrategia sea efectiva, debe existir una estructura organizacional capaz de sostenerla. Majluf destaca que la estructura debe ajustarse a la estrategia y que, cuando una prioridad estratégica no aparece representada de forma relevante en la organización, dicha prioridad pierde fuerza real. En sus palabras, si un tema se define como estratégico pero no aparece representado de manera destacada en la estructura, la declaración termina siendo vacía. En este caso, LATAM sí parece haber dado una representación organizacional concreta al proyecto, ya que la iniciativa surge desde la Dirección de Flota y Proyectos, la cual reporta directamente a la Vicepresidencia de Finanzas. Esto comunica internamente que no se trata de una compra aislada de aviones, sino de una inversión estratégica con impacto financiero, comercial y operacional.</w:t>
      </w:r>
    </w:p>
    <w:p w:rsidR="00000000" w:rsidDel="00000000" w:rsidP="00000000" w:rsidRDefault="00000000" w:rsidRPr="00000000" w14:paraId="00000075">
      <w:pPr>
        <w:spacing w:after="200" w:before="200" w:lineRule="auto"/>
        <w:ind w:firstLine="720.000000000000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La estructura organizacional del proyecto se presenta en el Anexo C. Esta permite observar cómo la iniciativa combina una dependencia jerárquica clara con mecanismos de coordinación transversal entre áreas funcionales. </w:t>
      </w:r>
      <w:r w:rsidDel="00000000" w:rsidR="00000000" w:rsidRPr="00000000">
        <w:rPr>
          <w:rtl w:val="0"/>
        </w:rPr>
      </w:r>
    </w:p>
    <w:p w:rsidR="00000000" w:rsidDel="00000000" w:rsidP="00000000" w:rsidRDefault="00000000" w:rsidRPr="00000000" w14:paraId="00000076">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estructura formal del proyecto combina una lógica jerárquica con una lógica transversal. Por un lado, la dependencia de la Vicepresidencia de Finanzas entrega autoridad, control presupuestario y capacidad de escalar decisiones relevantes. Por otro lado, la ejecución se organiza mediante un equipo multifuncional pequeño, compuesto por un gerente de entrada en servicio, tres Project Management Officers (Project Management Officer, jefe de proyecto) y tres ingenieros de flota, que coordinan quince frentes de trabajo simultáneos. Se identificó que estos frentes incluyen configuración técnica, certificación regulatoria ante la Agencia Nacional de Aviación Civil de Brasil, ingeniería de operaciones, capacitación de tripulaciones y logística de repuestos.</w:t>
      </w:r>
    </w:p>
    <w:p w:rsidR="00000000" w:rsidDel="00000000" w:rsidP="00000000" w:rsidRDefault="00000000" w:rsidRPr="00000000" w14:paraId="00000077">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combinación muestra que la estructura formal facilita la iniciativa en la medida en que permite coordinar áreas altamente especializadas sin perder capacidad de decisión. Según Robbins y Coulter, el diseño organizacional debe resolver cómo se divide, agrupa y coordina el trabajo. En este caso, la división funcional de LATAM sigue siendo necesaria porque cada área posee conocimientos técnicos distintos: Comercial conoce la demanda y rutas; Operaciones evalúa factibilidad y seguridad; Mantenimiento asegura disponibilidad técnica; Finanzas controla rentabilidad e inversión; y Flota articula la decisión de activos. No obstante, si cada área actuará de manera aislada, el proyecto probablemente se volvería lento y fragmentado. Por eso, el equipo de proyecto funciona como un mecanismo de integración transversal.</w:t>
      </w:r>
    </w:p>
    <w:p w:rsidR="00000000" w:rsidDel="00000000" w:rsidP="00000000" w:rsidRDefault="00000000" w:rsidRPr="00000000" w14:paraId="00000078">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principal desafío estructural es que la iniciativa tensiona una organización grande y regulada con una exigencia de velocidad poco habitual. La meta de implementar una flota completa en menos de diez meses obliga a LATAM a coordinar procesos que normalmente podrían seguir ritmos más secuenciales. Desde una mirada clásica, una estructura jerárquica y funcional permite control, claridad de responsabilidades y especialización. Sin embargo, en un proyecto de alta incertidumbre y plazos comprimidos, esa misma estructura puede generar demoras si todas las decisiones deben escalar verticalmente. Por esto, la estructura del proyecto parece acercarse a una forma más orgánica: conserva jerarquía para decisiones críticas, pero utiliza coordinación horizontal para resolver interdependencias diarias.</w:t>
      </w:r>
    </w:p>
    <w:p w:rsidR="00000000" w:rsidDel="00000000" w:rsidP="00000000" w:rsidRDefault="00000000" w:rsidRPr="00000000" w14:paraId="00000079">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de asignación del trabajo, la iniciativa exige que cada frente avance en paralelo, pero sin perder coherencia global. Esto es especialmente relevante porque las decisiones de un área afectan directamente a las demás. Por ejemplo, una definición comercial sobre rutas o densidad de cabina puede modificar requerimientos de ingeniería, consumo de combustible, necesidades de capacitación y planificación de mantenimiento. De la misma forma, una exigencia regulatoria puede alterar el calendario comercial. Por ello, el proyecto requiere coordinación continua, intercambio de información y mecanismos de priorización.</w:t>
      </w:r>
    </w:p>
    <w:p w:rsidR="00000000" w:rsidDel="00000000" w:rsidP="00000000" w:rsidRDefault="00000000" w:rsidRPr="00000000" w14:paraId="0000007A">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sistemas de coordinación actuales parecen basarse en reportes ejecutivos, reuniones de seguimiento y escalamiento de discrepancias hacia niveles superiores cuando no existe consenso. Esto facilita la implementación porque permite mantener visibilidad sobre los avances y riesgos del proyecto. Sin embargo, también puede generar presión sobre los equipos si los incentivos de cada área no están alineados. Comercial puede estar incentivada a acelerar la entrada en operación para capturar mercado; Mantenimiento puede privilegiar confiabilidad técnica y disponibilidad; Seguridad y Operaciones pueden priorizar reducción de riesgos; y Finanzas puede buscar control del retorno de inversión. Por tanto, el éxito del diseño estratégico depende de que los incentivos funcionales no compitan entre sí, sino que se subordinan al objetivo común de una entrada en servicio segura, rentable y oportuna.</w:t>
      </w:r>
    </w:p>
    <w:p w:rsidR="00000000" w:rsidDel="00000000" w:rsidP="00000000" w:rsidRDefault="00000000" w:rsidRPr="00000000" w14:paraId="0000007B">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síntesis, desde el lente de diseño estratégico, la iniciativa es consistente con la necesidad de LATAM de fortalecer su posición competitiva en Brasil. La estructura formal facilita el proyecto porque le otorga prioridad, autoridad y coordinación transversal. No obstante, también puede dificultar si predominan la burocracia, la fragmentación funcional o los incentivos particulares de cada área. Por ello, el valor del diseño organizacional está en equilibrar dos necesidades: mantener el control propio de una industria altamente regulada y, al mismo tiempo, permitir la agilidad necesaria para capturar una oportunidad estratégica excepcional.</w:t>
      </w:r>
    </w:p>
    <w:p w:rsidR="00000000" w:rsidDel="00000000" w:rsidP="00000000" w:rsidRDefault="00000000" w:rsidRPr="00000000" w14:paraId="0000007C">
      <w:pPr>
        <w:pStyle w:val="Heading2"/>
        <w:numPr>
          <w:ilvl w:val="1"/>
          <w:numId w:val="7"/>
        </w:numPr>
        <w:spacing w:after="200" w:line="276" w:lineRule="auto"/>
        <w:rPr>
          <w:rFonts w:ascii="Times New Roman" w:cs="Times New Roman" w:eastAsia="Times New Roman" w:hAnsi="Times New Roman"/>
          <w:b w:val="1"/>
          <w:bCs w:val="1"/>
          <w:i w:val="1"/>
          <w:iCs w:val="1"/>
          <w:sz w:val="24"/>
          <w:szCs w:val="24"/>
        </w:rPr>
      </w:pPr>
      <w:bookmarkStart w:colFirst="0" w:colLast="0" w:name="_q1v3q5e9kxqm" w:id="11"/>
      <w:bookmarkEnd w:id="11"/>
      <w:r w:rsidDel="00000000" w:rsidR="00000000" w:rsidRPr="00000000">
        <w:rPr>
          <w:rtl w:val="0"/>
        </w:rPr>
        <w:t xml:space="preserve">Política, poder, conflicto y negociación</w:t>
      </w:r>
    </w:p>
    <w:p w:rsidR="00000000" w:rsidDel="00000000" w:rsidP="00000000" w:rsidRDefault="00000000" w:rsidRPr="00000000" w14:paraId="0000007D">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iniciativa de incorporación de la flota Embraer también puede analizarse desde la perspectiva política de la organización. Esta mirada permite entender que las decisiones organizacionales no dependen sólo de criterios técnicos o financieros, sino también de los intereses, recursos, posiciones y capacidades de influencia de los actores involucrados. En este caso, el proyecto afecta a múltiples partes interesadas, tanto internas como externas, y cada una posee objetivos distintos.</w:t>
      </w:r>
    </w:p>
    <w:p w:rsidR="00000000" w:rsidDel="00000000" w:rsidP="00000000" w:rsidRDefault="00000000" w:rsidRPr="00000000" w14:paraId="0000007E">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dentro de LATAM existen varios actores internos relevantes. La Dirección de Flota y Proyectos aparece como el actor articulador de la iniciativa, ya que lidera el proceso de incorporación de la nueva flota y coordina los distintos frentes de trabajo. Su interés principal es ejecutar el proyecto dentro del plazo comprometido, asegurando que los aviones puedan entrar en operación de manera efectiva. Su fuente de poder proviene del conocimiento técnico del proyecto, de su cercanía con la Vicepresidencia de Finanzas y de su rol como nodo coordinador entre áreas.</w:t>
      </w:r>
    </w:p>
    <w:p w:rsidR="00000000" w:rsidDel="00000000" w:rsidP="00000000" w:rsidRDefault="00000000" w:rsidRPr="00000000" w14:paraId="0000007F">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Vicepresidencia de Finanzas también posee un poder central, dado que el proyecto implica una inversión de capital significativa. Su interés está asociado a la rentabilidad, al uso eficiente de recursos y al impacto financiero de la decisión. En este sentido, Finanzas tiene poder formal, presupuestario y estratégico. La dependencia de la Dirección de Flota y Proyectos respecto de esta vicepresidencia refuerza la idea de que el proyecto no se evalúa sólo como una decisión operacional, sino como una apuesta de crecimiento con consecuencias sobre el valor económico de la empresa.</w:t>
      </w:r>
    </w:p>
    <w:p w:rsidR="00000000" w:rsidDel="00000000" w:rsidP="00000000" w:rsidRDefault="00000000" w:rsidRPr="00000000" w14:paraId="00000080">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área Comercial, por su parte, gana con la iniciativa porque puede ampliar rutas, aumentar presencia en ciudades regionales y capturar participación de mercado en Brasil. Su interés principal es que la flota entre en operación rápidamente para aprovechar la </w:t>
      </w:r>
      <w:r w:rsidDel="00000000" w:rsidR="00000000" w:rsidRPr="00000000">
        <w:rPr>
          <w:rFonts w:ascii="Times New Roman" w:cs="Times New Roman" w:eastAsia="Times New Roman" w:hAnsi="Times New Roman"/>
          <w:sz w:val="24"/>
          <w:szCs w:val="24"/>
          <w:rtl w:val="0"/>
        </w:rPr>
        <w:t xml:space="preserve">ventana</w:t>
      </w:r>
      <w:r w:rsidDel="00000000" w:rsidR="00000000" w:rsidRPr="00000000">
        <w:rPr>
          <w:rFonts w:ascii="Times New Roman" w:cs="Times New Roman" w:eastAsia="Times New Roman" w:hAnsi="Times New Roman"/>
          <w:sz w:val="24"/>
          <w:szCs w:val="24"/>
          <w:rtl w:val="0"/>
        </w:rPr>
        <w:t xml:space="preserve"> competitiva. Sin embargo, este objetivo puede entrar en tensión con otras áreas. Comercial tiende a presionar por velocidad, más rutas y mayor capacidad de venta, mientras que otras áreas pueden requerir más tiempo para asegurar certificaciones, entrenamiento o disponibilidad técnica. En consecuencia, su fuente de poder proviene de su conocimiento del mercado, de la presión por crecimiento y de su capacidad de justificar la iniciativa desde la demanda.</w:t>
      </w:r>
    </w:p>
    <w:p w:rsidR="00000000" w:rsidDel="00000000" w:rsidP="00000000" w:rsidRDefault="00000000" w:rsidRPr="00000000" w14:paraId="00000081">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Mantenimiento, Seguridad y Operaciones representan otro grupo relevante. Estas áreas también ganan con una flota moderna y adecuada al mercado, pero enfrentan costos organizacionales importantes: deben adaptar procedimientos, entrenar personal, asegurar disponibilidad de repuestos, certificar procesos y reducir riesgos operacionales. Su interés principal no es simplemente acelerar la operación, sino asegurar que la entrada en servicio sea técnicamente confiable y segura. Su fuente de poder es especialmente fuerte porque, en la industria aeronáutica, ninguna decisión comercial puede imponerse legítimamente si compromete seguridad, cumplimiento regulatorio o continuidad operacional. Por eso, aunque estas áreas no siempre concentran el poder financiero, poseen un poder técnico y normativo decisivo.</w:t>
      </w:r>
    </w:p>
    <w:p w:rsidR="00000000" w:rsidDel="00000000" w:rsidP="00000000" w:rsidRDefault="00000000" w:rsidRPr="00000000" w14:paraId="00000082">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la perspectiva externa, Embraer es un actor clave. Gana con la venta de aeronaves, con el fortalecimiento de su relación con LATAM y con la validación de su modelo E195-E2 en el mercado brasileño. Su poder proviene del control sobre el producto, los plazos de entrega, el soporte técnico y las condiciones contractuales. A diferencia de un proveedor genérico, Embraer tiene una posición estratégica porque su oferta abrió la ventana de oportunidad que da origen al proyecto. No obstante, LATAM también posee poder negociador por su tamaño, reputación regional y potencial de compra futura.</w:t>
      </w:r>
    </w:p>
    <w:p w:rsidR="00000000" w:rsidDel="00000000" w:rsidP="00000000" w:rsidRDefault="00000000" w:rsidRPr="00000000" w14:paraId="00000083">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Agencia Nacional de Aviación Civil de Brasil también posee una fuente de poder crítica, aunque de naturaleza distinta. Su interés principal es asegurar el cumplimiento regulatorio y la seguridad operacional. Su poder no proviene del mercado ni del presupuesto, sino de su autoridad legal para aprobar o restringir la operación de la nueva flota. Esto significa que, aunque LATAM y Embraer lleguen a acuerdo comercial y técnico, el proyecto no podrá materializarse plenamente sin la aprobación regulatoria correspondiente.</w:t>
      </w:r>
    </w:p>
    <w:p w:rsidR="00000000" w:rsidDel="00000000" w:rsidP="00000000" w:rsidRDefault="00000000" w:rsidRPr="00000000" w14:paraId="00000084">
      <w:pPr>
        <w:spacing w:after="200" w:before="200" w:lineRule="auto"/>
        <w:ind w:firstLine="720"/>
        <w:jc w:val="both"/>
        <w:rPr/>
      </w:pPr>
      <w:r w:rsidDel="00000000" w:rsidR="00000000" w:rsidRPr="00000000">
        <w:rPr>
          <w:rFonts w:ascii="Times New Roman" w:cs="Times New Roman" w:eastAsia="Times New Roman" w:hAnsi="Times New Roman"/>
          <w:sz w:val="24"/>
          <w:szCs w:val="24"/>
          <w:rtl w:val="0"/>
        </w:rPr>
        <w:t xml:space="preserve">Los proveedores globales de piezas, servicios, formación y soporte logístico también forman parte de la red de poder. Señalamos que el ecosistema del proyecto incluye una red extensa de proveedores y actores externos, además de inversionistas, clientes y la mesa directiva. Estos proveedores pueden ganar contratos, continuidad comercial y vínculo con LATAM, pero también asumen exigencias de plazo y coordinación. Su poder depende de cuán reemplazables sean y de qué tan crítico sea su componente para la entrada en servicio.</w:t>
      </w:r>
      <w:r w:rsidDel="00000000" w:rsidR="00000000" w:rsidRPr="00000000">
        <w:rPr>
          <w:rtl w:val="0"/>
        </w:rPr>
      </w:r>
    </w:p>
    <w:p w:rsidR="00000000" w:rsidDel="00000000" w:rsidP="00000000" w:rsidRDefault="00000000" w:rsidRPr="00000000" w14:paraId="00000085">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último, los clientes del mercado doméstico brasileño aparecen como beneficiarios indirectos. Ellos ganan potencialmente mayor conectividad, más rutas y mejores alternativas de viaje. Sin embargo, no poseen poder directo sobre la implementación interna del proyecto, salvo a través de la demanda esperada y la presión competitiva del mercado. Los inversionistas, en cambio, poseen un interés financiero más explícito: esperan que la iniciativa genere retorno, crecimiento y fortalecimiento competitivo. Su poder se expresa de manera indirecta mediante expectativas sobre la administración y evaluación del desempeño de la compañía.</w:t>
      </w:r>
    </w:p>
    <w:p w:rsidR="00000000" w:rsidDel="00000000" w:rsidP="00000000" w:rsidRDefault="00000000" w:rsidRPr="00000000" w14:paraId="00000086">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del conflicto, la iniciativa contiene tensiones inevitables. Majluf plantea que el conflicto surge tanto por diferencias cognitivas, es decir, distintas formas de interpretar una misma situación, como por intereses contrapuestos entre las partes. Además, sostiene que el conflicto no debe entenderse necesariamente como pelea, sino como una manifestación normal de diferencias que puede transformarse en aprendizaje si es gestionado oportunamente. Esto se observa claramente en el proyecto Embraer: las áreas pueden estar de acuerdo con la meta general, pero discrepar respecto del ritmo, los criterios de decisión y los riesgos aceptables.</w:t>
      </w:r>
    </w:p>
    <w:p w:rsidR="00000000" w:rsidDel="00000000" w:rsidP="00000000" w:rsidRDefault="00000000" w:rsidRPr="00000000" w14:paraId="00000087">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primera tensión se da entre crecimiento comercial y seguridad operacional. Comercial podría interpretar la ventana de diez meses como una oportunidad que debe capturarse rápidamente para ganar mercado. Seguridad y Operaciones, en cambio, pueden interpretar el mismo plazo como un riesgo que debe ser cuidadosamente controlado. Ambas visiones son racionales desde sus propios objetivos. El problema aparece si una domina completamente a la otra. Si predomina sólo la urgencia comercial, la implementación puede volverse riesgosa. Si predomina sólo la lógica de control, LATAM puede perder la oportunidad estratégica ofrecida por Embraer.</w:t>
      </w:r>
    </w:p>
    <w:p w:rsidR="00000000" w:rsidDel="00000000" w:rsidP="00000000" w:rsidRDefault="00000000" w:rsidRPr="00000000" w14:paraId="00000088">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segunda tensión ocurre entre eficiencia financiera y robustez operacional. Finanzas puede buscar que la inversión sea rentable, que no se eleven demasiado los costos de implementación y que el proyecto cumpla los plazos comprometidos. Mantenimiento y Logística, sin embargo, pueden requerir mayores inventarios de repuestos, más entrenamiento o mayores holguras operativas para asegurar confiabilidad. En este caso, el conflicto no se resuelve simplemente eligiendo una postura, sino negociando el nivel adecuado de inversión inicial para evitar costos mayores en el futuro.</w:t>
      </w:r>
    </w:p>
    <w:p w:rsidR="00000000" w:rsidDel="00000000" w:rsidP="00000000" w:rsidRDefault="00000000" w:rsidRPr="00000000" w14:paraId="00000089">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tercera tensión aparece en la relación con Embraer. LATAM busca condiciones favorables, soporte técnico, cumplimiento de plazos y flexibilidad contractual. Embraer, por su parte, busca cerrar una venta relevante y posicionar su aeronave, pero también proteger sus márgenes y compromisos industriales. Dado que la información contractual es confidencial, no es posible afirmar detalles específicos sobre la negociación. Sin embargo, sí puede sostenerse que existe una negociación compleja en torno a precio, plazos, soporte técnico, garantías, capacitación, repuestos y responsabilidades frente a eventuales retrasos.</w:t>
      </w:r>
    </w:p>
    <w:p w:rsidR="00000000" w:rsidDel="00000000" w:rsidP="00000000" w:rsidRDefault="00000000" w:rsidRPr="00000000" w14:paraId="0000008A">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del poder, la iniciativa modifica parcialmente las relaciones internas dentro de LATAM. Al ubicar el proyecto en la Dirección de Flota y Proyectos y conectarlo directamente con la Vicepresidencia de Finanzas, se eleva el peso político de las áreas vinculadas a flota, inversión y planificación estratégica. Al mismo tiempo, áreas como Seguridad, Operaciones y Mantenimiento conservan poder crítico porque pueden aprobar, condicionar o retrasar aspectos esenciales de la implementación. Por esto, el poder no se concentra en un solo actor, sino que se distribuye entre quienes controlan recursos financieros, conocimiento técnico, acceso regulatorio, información de mercado y capacidad de coordinación.</w:t>
      </w:r>
    </w:p>
    <w:p w:rsidR="00000000" w:rsidDel="00000000" w:rsidP="00000000" w:rsidRDefault="00000000" w:rsidRPr="00000000" w14:paraId="0000008B">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se relaciona con Pfeffer, quien plantea que el poder en las organizaciones no es un elemento externo o anormal, sino una dimensión inevitable de la vida organizacional. En proyectos de alto impacto, los actores movilizan recursos, construyen apoyo y buscan influir en decisiones que afectan sus intereses. En este caso, la política organizacional no debe entenderse necesariamente como algo negativo. Puede ser funcional si permite alinear áreas, anticipar resistencias y construir coaliciones para ejecutar el proyecto. El riesgo aparece cuando el poder se usa para defender intereses funcionales estrechos y no el objetivo general de la organización.</w:t>
      </w:r>
    </w:p>
    <w:p w:rsidR="00000000" w:rsidDel="00000000" w:rsidP="00000000" w:rsidRDefault="00000000" w:rsidRPr="00000000" w14:paraId="0000008C">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negociación, por tanto, cumple un rol central. Internamente, LATAM debe negociar prioridades entre áreas: velocidad comercial, control financiero, seguridad operacional, disponibilidad técnica y cumplimiento regulatorio. Externamente, debe negociar con Embraer, proveedores, reguladores y posiblemente otros actores del ecosistema aeroportuario brasileño. En ambos niveles, la negociación no consiste sólo en “ganar” frente a la otra parte, sino en construir acuerdos que hagan viable la entrada en servicio. Siguiendo a Majluf, un conflicto bien manejado puede transformarse en una oportunidad de integración y colaboración; mal manejado, puede deteriorar relaciones y fragmentar equipos.</w:t>
      </w:r>
    </w:p>
    <w:p w:rsidR="00000000" w:rsidDel="00000000" w:rsidP="00000000" w:rsidRDefault="00000000" w:rsidRPr="00000000" w14:paraId="0000008D">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síntesis, la iniciativa Embraer muestra que el éxito de un proyecto estratégico no depende únicamente de que la oportunidad de mercado sea atractiva o de que el avión sea técnicamente adecuado. También depende de la capacidad política de LATAM para alinear intereses, distribuir poder de manera funcional, negociar con actores internos y externos, y resolver conflictos sin perder el foco estratégico. La incorporación de la flota E195-E2 puede fortalecer la posición de LATAM en Brasil, pero sólo si la organización logra equilibrar las presiones de crecimiento, rentabilidad, seguridad, regulación y coordinación interdepartamental.</w:t>
      </w:r>
    </w:p>
    <w:p w:rsidR="00000000" w:rsidDel="00000000" w:rsidP="00000000" w:rsidRDefault="00000000" w:rsidRPr="00000000" w14:paraId="0000008E">
      <w:pPr>
        <w:pStyle w:val="Heading2"/>
        <w:numPr>
          <w:ilvl w:val="1"/>
          <w:numId w:val="7"/>
        </w:numPr>
        <w:spacing w:after="200" w:line="276" w:lineRule="auto"/>
        <w:rPr>
          <w:rFonts w:ascii="Times New Roman" w:cs="Times New Roman" w:eastAsia="Times New Roman" w:hAnsi="Times New Roman"/>
          <w:b w:val="1"/>
          <w:bCs w:val="1"/>
          <w:i w:val="1"/>
          <w:iCs w:val="1"/>
          <w:sz w:val="24"/>
          <w:szCs w:val="24"/>
        </w:rPr>
      </w:pPr>
      <w:bookmarkStart w:colFirst="0" w:colLast="0" w:name="_4hc8sqmdjlug" w:id="12"/>
      <w:bookmarkEnd w:id="12"/>
      <w:r w:rsidDel="00000000" w:rsidR="00000000" w:rsidRPr="00000000">
        <w:rPr>
          <w:rtl w:val="0"/>
        </w:rPr>
        <w:t xml:space="preserve">Cultura Organizacional</w:t>
      </w:r>
    </w:p>
    <w:p w:rsidR="00000000" w:rsidDel="00000000" w:rsidP="00000000" w:rsidRDefault="00000000" w:rsidRPr="00000000" w14:paraId="0000008F">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tres niveles de la cultura organizacional se manifiestan en la implementación del proyecto Entry into Service (EiS) de Embraer:</w:t>
      </w:r>
    </w:p>
    <w:p w:rsidR="00000000" w:rsidDel="00000000" w:rsidP="00000000" w:rsidRDefault="00000000" w:rsidRPr="00000000" w14:paraId="00000090">
      <w:pPr>
        <w:numPr>
          <w:ilvl w:val="0"/>
          <w:numId w:val="8"/>
        </w:numPr>
        <w:spacing w:after="200" w:before="20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Artefactos: Son las estructuras y procesos organizacionales visibles. En esta iniciativa, los artefactos clave son el diseño del propio "escuadrón EiS" (un equipo celular de siete personas aislado físicamente de la burocracia central), las reuniones semanales de touchpoint de 15 a 30 minutos, los reportes mensuales "súper ejecutivos" con adjuntos técnicos densos, y el uso de una jerga altamente técnica y anglicanizada. Asimismo, la "tarjeta ilimitada" y el "pase de gol" actúan como artefactos de poder y prioridad financiera que la alta dirección ha otorgado explícitamente al equipo.</w:t>
      </w:r>
    </w:p>
    <w:p w:rsidR="00000000" w:rsidDel="00000000" w:rsidP="00000000" w:rsidRDefault="00000000" w:rsidRPr="00000000" w14:paraId="00000091">
      <w:pPr>
        <w:numPr>
          <w:ilvl w:val="0"/>
          <w:numId w:val="8"/>
        </w:numPr>
        <w:spacing w:after="200" w:before="20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Valores Adoptados: Representan las estrategias, metas y filosofías declaradas por la empresa. El discurso oficial de LATAM promueve la "eficiencia operativa extrema", la "agilidad ante las oportunidades de mercado" y el mandato del </w:t>
      </w:r>
      <w:r w:rsidDel="00000000" w:rsidR="00000000" w:rsidRPr="00000000">
        <w:rPr>
          <w:rFonts w:ascii="Times New Roman" w:cs="Times New Roman" w:eastAsia="Times New Roman" w:hAnsi="Times New Roman"/>
          <w:i w:val="1"/>
          <w:iCs w:val="1"/>
          <w:sz w:val="24"/>
          <w:szCs w:val="24"/>
          <w:rtl w:val="0"/>
        </w:rPr>
        <w:t xml:space="preserve">make it happen</w:t>
      </w:r>
      <w:r w:rsidDel="00000000" w:rsidR="00000000" w:rsidRPr="00000000">
        <w:rPr>
          <w:rFonts w:ascii="Times New Roman" w:cs="Times New Roman" w:eastAsia="Times New Roman" w:hAnsi="Times New Roman"/>
          <w:sz w:val="24"/>
          <w:szCs w:val="24"/>
          <w:rtl w:val="0"/>
        </w:rPr>
        <w:t xml:space="preserve"> (hazlo suceder). En este proyecto, la velocidad se ha elevado a la categoría de valor máximo, justificando la compresión de un cronograma industrial estándar de 24 meses a tan solo 10 meses.</w:t>
      </w:r>
    </w:p>
    <w:p w:rsidR="00000000" w:rsidDel="00000000" w:rsidP="00000000" w:rsidRDefault="00000000" w:rsidRPr="00000000" w14:paraId="00000092">
      <w:pPr>
        <w:numPr>
          <w:ilvl w:val="0"/>
          <w:numId w:val="8"/>
        </w:numPr>
        <w:spacing w:after="200" w:before="20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Supuestos Básicos: Son las creencias inconscientes, invisibles y dadas por sentado que realmente guían la conducta de los miembros. En LATAM, el supuesto básico fundamental es que "la seguridad operacional es innegociable". Ninguna urgencia comercial o financiera puede violar este supuesto; si existe un riesgo de seguridad, el sistema se detiene.</w:t>
      </w:r>
    </w:p>
    <w:p w:rsidR="00000000" w:rsidDel="00000000" w:rsidP="00000000" w:rsidRDefault="00000000" w:rsidRPr="00000000" w14:paraId="00000093">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iniciativa posee una carga simbólica diferenciada según el observador dentro de la compañía:</w:t>
      </w:r>
    </w:p>
    <w:p w:rsidR="00000000" w:rsidDel="00000000" w:rsidP="00000000" w:rsidRDefault="00000000" w:rsidRPr="00000000" w14:paraId="00000094">
      <w:pPr>
        <w:numPr>
          <w:ilvl w:val="0"/>
          <w:numId w:val="6"/>
        </w:numPr>
        <w:spacing w:after="200" w:before="20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Aspecto Denotativo (Significado Literal): La incorporación física de 20 aeronaves Embraer E195-E2 de fabricación brasileña para operar rutas secundarias y domésticas en Brasil.</w:t>
      </w:r>
    </w:p>
    <w:p w:rsidR="00000000" w:rsidDel="00000000" w:rsidP="00000000" w:rsidRDefault="00000000" w:rsidRPr="00000000" w14:paraId="00000095">
      <w:pPr>
        <w:numPr>
          <w:ilvl w:val="0"/>
          <w:numId w:val="6"/>
        </w:numPr>
        <w:spacing w:after="200" w:before="20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Aspecto Connotativo (Significado Simbólico): </w:t>
      </w:r>
    </w:p>
    <w:p w:rsidR="00000000" w:rsidDel="00000000" w:rsidP="00000000" w:rsidRDefault="00000000" w:rsidRPr="00000000" w14:paraId="00000096">
      <w:pPr>
        <w:numPr>
          <w:ilvl w:val="1"/>
          <w:numId w:val="6"/>
        </w:numPr>
        <w:spacing w:after="200" w:before="20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Para la alta dirección, el proyecto simboliza la resiliencia y capacidad de respuesta de LATAM post-pandemia; representa que la aerolínea puede competir de igual a igual en la "cancha de origen" de su competidor local en Brasil, utilizando tecnología nacional brasileña. </w:t>
      </w:r>
    </w:p>
    <w:p w:rsidR="00000000" w:rsidDel="00000000" w:rsidP="00000000" w:rsidRDefault="00000000" w:rsidRPr="00000000" w14:paraId="00000097">
      <w:pPr>
        <w:numPr>
          <w:ilvl w:val="1"/>
          <w:numId w:val="6"/>
        </w:numPr>
        <w:spacing w:after="200" w:before="20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Para el escuadrón EiS, el proyecto simboliza un "estatus de élite", un pase de gol que los valida como profesionales de alto rendimiento capaces de lograr lo imposible. Sin embargo, para algunas áreas funcionales tradicionales, la iniciativa puede percibirse como una intervención impulsada desde la matriz que altera procesos ya establecidos y aumenta la carga de trabajo operativo. </w:t>
      </w:r>
    </w:p>
    <w:p w:rsidR="00000000" w:rsidDel="00000000" w:rsidP="00000000" w:rsidRDefault="00000000" w:rsidRPr="00000000" w14:paraId="00000098">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EiS Embraer actúa como un disruptor de las tradiciones operativas de LATAM. Tradicionalmente, la entrada en servicio de una nueva flota era un proceso complejo, ritualizado mediante comités secuenciales de largo aliento que duraban hasta dos años. Esta iniciativa destruye dicha tradición e instala una nueva "tradición de agilidad" caracterizada por la toma de decisiones descentralizada y el empoderamiento técnico.</w:t>
      </w:r>
    </w:p>
    <w:p w:rsidR="00000000" w:rsidDel="00000000" w:rsidP="00000000" w:rsidRDefault="00000000" w:rsidRPr="00000000" w14:paraId="00000099">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rituales del proyecto se han sintetizado en los touchpoints de 15 minutos semanales, donde no hay espacio para discusiones corporativas abstractas o peleas de egos, sino que se enfocan en la resolución de bloqueos técnicos específicos. No se identifican ceremonias formales de lanzamiento en esta etapa debido a la confidencialidad estratégica de la adquisición, pero la entrega del primer avión por parte de Embraer y, como es costumbre en el sector aeronáutico, el bautizo operativo (el tradicional "champañazo en la nariz") están planificados como la ceremonia cumbre que marcará la integración de este nuevo hito en la mitología de la empresa.</w:t>
      </w:r>
    </w:p>
    <w:p w:rsidR="00000000" w:rsidDel="00000000" w:rsidP="00000000" w:rsidRDefault="00000000" w:rsidRPr="00000000" w14:paraId="0000009A">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historias que se cuentan en torno a la iniciativa moldean la percepción de la cultura organizacional. El relato dominante, promovido por los líderes del proyecto, describe al escuadrón como un "grupo de élite" o un squad de "fuerzas especiales" que ha asumido "el proyecto más desafiante y agresivo en la historia reciente de LATAM". Este mito del héroe corporativo que lucha contra el tiempo y la burocracia refuerza la cohesión del equipo EiS.</w:t>
      </w:r>
    </w:p>
    <w:p w:rsidR="00000000" w:rsidDel="00000000" w:rsidP="00000000" w:rsidRDefault="00000000" w:rsidRPr="00000000" w14:paraId="0000009B">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lenguaje utilizado actúa como un demarcador cultural. Mientras que el equipo de proyecto se comunica en un lenguaje híbrido, plagado de términos técnicos globales en inglés y conceptos financieros de alta dirección , la interacción con las filiales operativas locales en Brasil se ve fuertemente influenciada por modismos y choques lingüísticos sutiles. En la entrevista se revela un hallazgo crítico sobre los estilos culturales de comunicación:</w:t>
      </w:r>
    </w:p>
    <w:p w:rsidR="00000000" w:rsidDel="00000000" w:rsidP="00000000" w:rsidRDefault="00000000" w:rsidRPr="00000000" w14:paraId="0000009C">
      <w:pPr>
        <w:spacing w:after="200" w:before="200" w:lineRule="auto"/>
        <w:ind w:left="720" w:right="916.062992125985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chileno le cuesta un poco identificar cuando el brasileño le dice 'sí, sí, tranquilo', el chileno dice como, 'Ah, ya sí, estoy tranquilo, pero en verdad ese tranquilo no está tranquilo, cachái'." (</w:t>
      </w:r>
      <w:r w:rsidDel="00000000" w:rsidR="00000000" w:rsidRPr="00000000">
        <w:rPr>
          <w:rFonts w:ascii="Times New Roman" w:cs="Times New Roman" w:eastAsia="Times New Roman" w:hAnsi="Times New Roman"/>
          <w:sz w:val="24"/>
          <w:szCs w:val="24"/>
          <w:rtl w:val="0"/>
        </w:rPr>
        <w:t xml:space="preserve">Parulla</w:t>
      </w:r>
      <w:r w:rsidDel="00000000" w:rsidR="00000000" w:rsidRPr="00000000">
        <w:rPr>
          <w:rFonts w:ascii="Times New Roman" w:cs="Times New Roman" w:eastAsia="Times New Roman" w:hAnsi="Times New Roman"/>
          <w:sz w:val="24"/>
          <w:szCs w:val="24"/>
          <w:rtl w:val="0"/>
        </w:rPr>
        <w:t xml:space="preserve">, 2026)</w:t>
      </w:r>
    </w:p>
    <w:p w:rsidR="00000000" w:rsidDel="00000000" w:rsidP="00000000" w:rsidRDefault="00000000" w:rsidRPr="00000000" w14:paraId="0000009D">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choque entre el estilo de comunicación chileno (estructurado, formal, que asume la asertividad literal) y el brasileño (indirecto, relacional, que evita el "no" directo y utiliza el "fica tranquilo" como un amortiguador de conflictos antes de que el proceso explote) es un artefacto cultural que introduce un riesgo invisible en la gestión de plazos del proyecto. Por otro lado, la asertividad extrema atribuida a la subcultura colombiana en LATAM contrasta con los estilos de negociación más matizados de São Paulo, evidenciando una fragmentación subcultural en la ejecución de la estrategia global.</w:t>
      </w:r>
    </w:p>
    <w:p w:rsidR="00000000" w:rsidDel="00000000" w:rsidP="00000000" w:rsidRDefault="00000000" w:rsidRPr="00000000" w14:paraId="0000009E">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diversidad geográfica e histórica de LATAM genera respuestas subculturales marcadas ante el proyecto:</w:t>
      </w:r>
    </w:p>
    <w:p w:rsidR="00000000" w:rsidDel="00000000" w:rsidP="00000000" w:rsidRDefault="00000000" w:rsidRPr="00000000" w14:paraId="0000009F">
      <w:pPr>
        <w:numPr>
          <w:ilvl w:val="0"/>
          <w:numId w:val="9"/>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Subcultura Corporativa (Matriz Santiago): Adopta una postura de control de gestión, priorizando las métricas financieras de retorno de inversión y la replicabilidad de procesos bajo una lógica racional-legal.</w:t>
      </w:r>
    </w:p>
    <w:p w:rsidR="00000000" w:rsidDel="00000000" w:rsidP="00000000" w:rsidRDefault="00000000" w:rsidRPr="00000000" w14:paraId="000000A0">
      <w:pPr>
        <w:numPr>
          <w:ilvl w:val="0"/>
          <w:numId w:val="9"/>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Subcultura Operativa Brasileña (São Paulo/Brasilia): Muestra resistencia pasiva ante la aceleración de plazos del proyecto EiS. Dado que ellos asumirán la operación diaria y la responsabilidad regulatoria directa ante la ANAC una vez que el escuadrón EiS se retire, su enfoque es de cautela extrema, buscando la "quinta pata al gato" en términos de certificaciones y manuales técnicos.</w:t>
      </w:r>
    </w:p>
    <w:p w:rsidR="00000000" w:rsidDel="00000000" w:rsidP="00000000" w:rsidRDefault="00000000" w:rsidRPr="00000000" w14:paraId="000000A1">
      <w:pPr>
        <w:numPr>
          <w:ilvl w:val="0"/>
          <w:numId w:val="9"/>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Subcultura de Mantenimiento: Intenta apropiarse del proyecto para exigir una modernización de la infraestructura física de los hangares en Brasil y la ampliación del stock de repuestos críticos (como motores de repuesto por ingesta de aves), utilizando la "tarjeta ilimitada" del proyecto como una palanca para financiar necesidades históricas del área que habían sido postergadas por control presupuestario general.</w:t>
      </w:r>
    </w:p>
    <w:p w:rsidR="00000000" w:rsidDel="00000000" w:rsidP="00000000" w:rsidRDefault="00000000" w:rsidRPr="00000000" w14:paraId="000000A2">
      <w:pPr>
        <w:pStyle w:val="Heading2"/>
        <w:numPr>
          <w:ilvl w:val="1"/>
          <w:numId w:val="7"/>
        </w:numPr>
        <w:spacing w:after="200" w:line="276" w:lineRule="auto"/>
        <w:rPr>
          <w:rFonts w:ascii="Times New Roman" w:cs="Times New Roman" w:eastAsia="Times New Roman" w:hAnsi="Times New Roman"/>
          <w:b w:val="1"/>
          <w:bCs w:val="1"/>
          <w:i w:val="1"/>
          <w:iCs w:val="1"/>
          <w:sz w:val="24"/>
          <w:szCs w:val="24"/>
        </w:rPr>
      </w:pPr>
      <w:bookmarkStart w:colFirst="0" w:colLast="0" w:name="_e088593r2wc0" w:id="13"/>
      <w:bookmarkEnd w:id="13"/>
      <w:r w:rsidDel="00000000" w:rsidR="00000000" w:rsidRPr="00000000">
        <w:rPr>
          <w:rtl w:val="0"/>
        </w:rPr>
        <w:t xml:space="preserve">Discusión Integrada de las Tres Perspectivas</w:t>
      </w:r>
      <w:r w:rsidDel="00000000" w:rsidR="00000000" w:rsidRPr="00000000">
        <w:rPr>
          <w:rtl w:val="0"/>
        </w:rPr>
      </w:r>
    </w:p>
    <w:p w:rsidR="00000000" w:rsidDel="00000000" w:rsidP="00000000" w:rsidRDefault="00000000" w:rsidRPr="00000000" w14:paraId="000000A3">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decisión estructural de ubicar el proyecto EiS dentro de la Dirección de Flota y Proyectos y bajo la dependencia directa de la Vicepresidencia de Finanzas (Diseño Estratégico) no es una decisión políticamente neutra. Esta configuración dota al equipo de proyecto de una fuente de poder formal sustancial frente a directores y gerentes de áreas operativas con mayor antigüedad (Perspectiva Política). Al otorgarles una "tarjeta ilimitada" y autonomía directa ("pase de gol"), el diseño estructural redefine la matriz de poder en LATAM: los PMO, que jerárquicamente se ubican en un nivel intermedio, adquieren la autoridad política para exigir el cumplimiento de metas aceleradas a áreas funcionales tradicionalmente poderosas como Mantenimiento y Operaciones.</w:t>
      </w:r>
    </w:p>
    <w:p w:rsidR="00000000" w:rsidDel="00000000" w:rsidP="00000000" w:rsidRDefault="00000000" w:rsidRPr="00000000" w14:paraId="000000A4">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Inversamente, las tensiones políticas de recursos (por ejemplo, la disputa entre Mantenimiento y Comercial por la densidad de asientos o la disponibilidad de aeronaves para revisión técnica) obligan al equipo a utilizar mecanismos formales de escalamiento (Diseño Estratégico) hacia el comité de directivos para destrabar conflictos de interés que la estructura plana diaria no logra resolver por consenso.</w:t>
      </w:r>
    </w:p>
    <w:p w:rsidR="00000000" w:rsidDel="00000000" w:rsidP="00000000" w:rsidRDefault="00000000" w:rsidRPr="00000000" w14:paraId="000000A5">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diferencias de poder también influyen en la forma en que las subculturas interpretan el proyecto. El alto respaldo que recibe el equipo EiS puede generar distancia con algunas áreas funcionales, especialmente cuando éstas perciben que deben ajustar sus rutinas habituales a una urgencia definida desde la matriz. En este contexto, expresiones como “fica tranquilo” pueden producir ambigüedad en la coordinación entre equipos chilenos y brasileños: mientras para algunos puede interpretarse como conformidad, para otros puede reflejar una forma distinta de manejar incertidumbres, desacuerdos o temas pendientes. Por ello, el problema no está necesariamente en la falta de compromiso, sino en que los estilos culturales de comunicación pueden ocultar diferencias que deben hacerse explícitas para evitar retrasos o malentendidos.</w:t>
      </w:r>
    </w:p>
    <w:p w:rsidR="00000000" w:rsidDel="00000000" w:rsidP="00000000" w:rsidRDefault="00000000" w:rsidRPr="00000000" w14:paraId="000000A6">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otra parte, la cultura corporativa de "seguridad operacional como supuesto inquebrantable" actúa como un límite político absoluto. El director de Mantenimiento o el gerente de Seguridad de Vuelo pueden vetar cualquier decisión comercial acelerada movilizando esta creencia compartida. En LATAM, la cultura es la fuente última de legitimidad del poder político.</w:t>
      </w:r>
    </w:p>
    <w:p w:rsidR="00000000" w:rsidDel="00000000" w:rsidP="00000000" w:rsidRDefault="00000000" w:rsidRPr="00000000" w14:paraId="000000A7">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estructura organizacional de LATAM, caracterizada por tener líneas operativas regionales que responden al holding corporativo centralizado en Santiago (Diseño Estratégico), es una respuesta directa a la realidad cultural de la multinacional (Perspectiva Cultural). Esta división de gobernanza evita el rechazo cultural que generaría una imposición centralizada de procesos en países con marcos regulatorios y estilos de trabajo tan dispares.</w:t>
      </w:r>
    </w:p>
    <w:p w:rsidR="00000000" w:rsidDel="00000000" w:rsidP="00000000" w:rsidRDefault="00000000" w:rsidRPr="00000000" w14:paraId="000000A8">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el diseño estratégico actual de las células ágiles de 10 meses choca con las tradiciones y rituales de trabajo de la operación local brasileña. Si el diseño estructural no incorpora mecanismos de comunicación que armonicen la falta de asertividad directa de la subcultura de São Paulo con la necesidad de certidumbre de la matriz de Santiago, la estructura ágil de 7 personas fallará debido a la fricción de los engranajes culturales no considerados en los diagramas de procesos formales.</w:t>
      </w:r>
    </w:p>
    <w:p w:rsidR="00000000" w:rsidDel="00000000" w:rsidP="00000000" w:rsidRDefault="00000000" w:rsidRPr="00000000" w14:paraId="000000A9">
      <w:pPr>
        <w:pStyle w:val="Heading1"/>
        <w:numPr>
          <w:ilvl w:val="0"/>
          <w:numId w:val="7"/>
        </w:numPr>
        <w:spacing w:after="200" w:line="276" w:lineRule="auto"/>
        <w:rPr>
          <w:rFonts w:ascii="Times New Roman" w:cs="Times New Roman" w:eastAsia="Times New Roman" w:hAnsi="Times New Roman"/>
          <w:b w:val="1"/>
          <w:bCs w:val="1"/>
          <w:sz w:val="24"/>
          <w:szCs w:val="24"/>
        </w:rPr>
      </w:pPr>
      <w:bookmarkStart w:colFirst="0" w:colLast="0" w:name="_5q1hc57io9dd" w:id="14"/>
      <w:bookmarkEnd w:id="14"/>
      <w:r w:rsidDel="00000000" w:rsidR="00000000" w:rsidRPr="00000000">
        <w:rPr>
          <w:rtl w:val="0"/>
        </w:rPr>
        <w:t xml:space="preserve">Evaluación de la Iniciativa y Recomendaciones</w:t>
      </w:r>
    </w:p>
    <w:p w:rsidR="00000000" w:rsidDel="00000000" w:rsidP="00000000" w:rsidRDefault="00000000" w:rsidRPr="00000000" w14:paraId="000000AA">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la flota Embraer E195-E2 en LATAM Airlines representa una respuesta ágil de alto impacto frente a una ventana de oportunidad competitiva sin precedentes en la industria aeronáutica. Sin embargo, un análisis sistémico revela que la velocidad de ejecución y la estructura provisional del proyecto han generado vulnerabilidades que ponen en riesgo la sostenibilidad del éxito a largo plazo.</w:t>
      </w:r>
    </w:p>
    <w:p w:rsidR="00000000" w:rsidDel="00000000" w:rsidP="00000000" w:rsidRDefault="00000000" w:rsidRPr="00000000" w14:paraId="000000AB">
      <w:pPr>
        <w:pStyle w:val="Heading2"/>
        <w:numPr>
          <w:ilvl w:val="1"/>
          <w:numId w:val="7"/>
        </w:numPr>
        <w:spacing w:after="200" w:line="276" w:lineRule="auto"/>
        <w:rPr>
          <w:rFonts w:ascii="Times New Roman" w:cs="Times New Roman" w:eastAsia="Times New Roman" w:hAnsi="Times New Roman"/>
          <w:b w:val="1"/>
          <w:bCs w:val="1"/>
          <w:i w:val="1"/>
          <w:iCs w:val="1"/>
          <w:sz w:val="24"/>
          <w:szCs w:val="24"/>
        </w:rPr>
      </w:pPr>
      <w:bookmarkStart w:colFirst="0" w:colLast="0" w:name="_13su739xqlt4" w:id="15"/>
      <w:bookmarkEnd w:id="15"/>
      <w:r w:rsidDel="00000000" w:rsidR="00000000" w:rsidRPr="00000000">
        <w:rPr>
          <w:rtl w:val="0"/>
        </w:rPr>
        <w:t xml:space="preserve">Evaluación de la Implementación y Métricas de Éxito</w:t>
      </w:r>
    </w:p>
    <w:p w:rsidR="00000000" w:rsidDel="00000000" w:rsidP="00000000" w:rsidRDefault="00000000" w:rsidRPr="00000000" w14:paraId="000000AC">
      <w:pPr>
        <w:numPr>
          <w:ilvl w:val="0"/>
          <w:numId w:val="10"/>
        </w:numPr>
        <w:spacing w:after="200" w:before="20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Incorporación de Activos: El objetivo técnico-financiero de asegurar las 20 aeronaves E195-E2 se encuentra en marcha, capitalizando la oferta acelerada de Embraer.</w:t>
      </w:r>
    </w:p>
    <w:p w:rsidR="00000000" w:rsidDel="00000000" w:rsidP="00000000" w:rsidRDefault="00000000" w:rsidRPr="00000000" w14:paraId="000000AD">
      <w:pPr>
        <w:numPr>
          <w:ilvl w:val="0"/>
          <w:numId w:val="10"/>
        </w:numPr>
        <w:spacing w:after="200" w:before="20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Entrada en Servicio (EiS): El escuadrón ágil ha logrado coordinar los 15 frentes de trabajo en paralelo, obteniendo avances significativos en la certificación de la ANAC y la definición técnica de cabinas (LOPA).</w:t>
      </w:r>
    </w:p>
    <w:p w:rsidR="00000000" w:rsidDel="00000000" w:rsidP="00000000" w:rsidRDefault="00000000" w:rsidRPr="00000000" w14:paraId="000000AE">
      <w:pPr>
        <w:numPr>
          <w:ilvl w:val="0"/>
          <w:numId w:val="10"/>
        </w:numPr>
        <w:spacing w:after="200" w:before="20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Costo de Implementación Interno: Si bien los hitos del cronograma se están cumpliendo bajo el mandato del </w:t>
      </w:r>
      <w:r w:rsidDel="00000000" w:rsidR="00000000" w:rsidRPr="00000000">
        <w:rPr>
          <w:rFonts w:ascii="Times New Roman" w:cs="Times New Roman" w:eastAsia="Times New Roman" w:hAnsi="Times New Roman"/>
          <w:i w:val="1"/>
          <w:iCs w:val="1"/>
          <w:sz w:val="24"/>
          <w:szCs w:val="24"/>
          <w:rtl w:val="0"/>
        </w:rPr>
        <w:t xml:space="preserve">make it happen</w:t>
      </w:r>
      <w:r w:rsidDel="00000000" w:rsidR="00000000" w:rsidRPr="00000000">
        <w:rPr>
          <w:rFonts w:ascii="Times New Roman" w:cs="Times New Roman" w:eastAsia="Times New Roman" w:hAnsi="Times New Roman"/>
          <w:sz w:val="24"/>
          <w:szCs w:val="24"/>
          <w:rtl w:val="0"/>
        </w:rPr>
        <w:t xml:space="preserve">, se observa un alto costo en el clima organizacional. La compresión del plazo de 24 a 10 meses ha provocado una sobrecarga laboral extrema en las áreas operativas brasileñas de soporte, las cuales deben atender las exigencias del escuadrón EiS sin que se hayan reducido sus responsabilidades operacionales diarias.</w:t>
      </w:r>
    </w:p>
    <w:p w:rsidR="00000000" w:rsidDel="00000000" w:rsidP="00000000" w:rsidRDefault="00000000" w:rsidRPr="00000000" w14:paraId="000000AF">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LATAM mide el éxito del proyecto a través de indicadores puramente técnicos, financieros y de cronograma (métricas duras):</w:t>
      </w:r>
    </w:p>
    <w:p w:rsidR="00000000" w:rsidDel="00000000" w:rsidP="00000000" w:rsidRDefault="00000000" w:rsidRPr="00000000" w14:paraId="000000B0">
      <w:pPr>
        <w:numPr>
          <w:ilvl w:val="0"/>
          <w:numId w:val="3"/>
        </w:numPr>
        <w:spacing w:after="200" w:before="20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Hitos del Cronograma: Cumplimiento de fechas límite para la entrega de aeronaves, certificación ante la ANAC y habilitación de tripulaciones.</w:t>
      </w:r>
    </w:p>
    <w:p w:rsidR="00000000" w:rsidDel="00000000" w:rsidP="00000000" w:rsidRDefault="00000000" w:rsidRPr="00000000" w14:paraId="000000B1">
      <w:pPr>
        <w:numPr>
          <w:ilvl w:val="0"/>
          <w:numId w:val="3"/>
        </w:numPr>
        <w:spacing w:after="200" w:before="20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Eficiencia de Costos: Desviación presupuestaria del capital de inversión asignado.</w:t>
      </w:r>
    </w:p>
    <w:p w:rsidR="00000000" w:rsidDel="00000000" w:rsidP="00000000" w:rsidRDefault="00000000" w:rsidRPr="00000000" w14:paraId="000000B2">
      <w:pPr>
        <w:numPr>
          <w:ilvl w:val="0"/>
          <w:numId w:val="3"/>
        </w:numPr>
        <w:spacing w:after="200" w:before="20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Disponibilidad de Horas de Vuelo: El objetivo de operar el avión bajo un estándar óptimo (debate de rango de 20 a 22 horas diarias de utilización operativa).</w:t>
      </w:r>
    </w:p>
    <w:p w:rsidR="00000000" w:rsidDel="00000000" w:rsidP="00000000" w:rsidRDefault="00000000" w:rsidRPr="00000000" w14:paraId="000000B3">
      <w:pPr>
        <w:spacing w:after="200" w:before="20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métricas son necesarias pero altamente insuficientes. Al centrarse únicamente en la dimensión del diseño estratégico, la organización sufre de "ceguera política y cultural". Las métricas actuales no capturan:</w:t>
      </w:r>
    </w:p>
    <w:p w:rsidR="00000000" w:rsidDel="00000000" w:rsidP="00000000" w:rsidRDefault="00000000" w:rsidRPr="00000000" w14:paraId="000000B4">
      <w:pPr>
        <w:numPr>
          <w:ilvl w:val="0"/>
          <w:numId w:val="4"/>
        </w:numPr>
        <w:spacing w:after="200" w:before="20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Burnout y Clima Organizacional: No miden el desgaste físico y mental de las tripulaciones y mecánicos sometidos a entrenamientos y certificaciones aceleradas.</w:t>
      </w:r>
    </w:p>
    <w:p w:rsidR="00000000" w:rsidDel="00000000" w:rsidP="00000000" w:rsidRDefault="00000000" w:rsidRPr="00000000" w14:paraId="000000B5">
      <w:pPr>
        <w:numPr>
          <w:ilvl w:val="0"/>
          <w:numId w:val="4"/>
        </w:numPr>
        <w:spacing w:after="200" w:before="20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Índice de Alineación y Resistencia Política: No evalúan el grado de fricción e intereses contrapuestos entre Comercial y Mantenimiento, lo que puede provocar fallas de coordinación críticas una vez que el escuadrón EiS se retire y traspase la operación a la línea tradicional.</w:t>
      </w:r>
    </w:p>
    <w:p w:rsidR="00000000" w:rsidDel="00000000" w:rsidP="00000000" w:rsidRDefault="00000000" w:rsidRPr="00000000" w14:paraId="000000B6">
      <w:pPr>
        <w:numPr>
          <w:ilvl w:val="0"/>
          <w:numId w:val="4"/>
        </w:numPr>
        <w:spacing w:after="200" w:before="20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Efectividad de la Transferencia de Conocimiento Tácito: No miden si el conocimiento operativo desarrollado en el escuadrón ágil de 7 personas se está documentando e institucionalizando en la organización permanente en Brasil.</w:t>
      </w:r>
    </w:p>
    <w:p w:rsidR="00000000" w:rsidDel="00000000" w:rsidP="00000000" w:rsidRDefault="00000000" w:rsidRPr="00000000" w14:paraId="000000B7">
      <w:pPr>
        <w:pStyle w:val="Heading2"/>
        <w:numPr>
          <w:ilvl w:val="1"/>
          <w:numId w:val="7"/>
        </w:numPr>
        <w:spacing w:after="200" w:line="276" w:lineRule="auto"/>
        <w:rPr>
          <w:rFonts w:ascii="Times New Roman" w:cs="Times New Roman" w:eastAsia="Times New Roman" w:hAnsi="Times New Roman"/>
          <w:b w:val="1"/>
          <w:bCs w:val="1"/>
          <w:i w:val="1"/>
          <w:iCs w:val="1"/>
          <w:sz w:val="24"/>
          <w:szCs w:val="24"/>
        </w:rPr>
      </w:pPr>
      <w:bookmarkStart w:colFirst="0" w:colLast="0" w:name="_15hc0p92273" w:id="16"/>
      <w:bookmarkEnd w:id="16"/>
      <w:r w:rsidDel="00000000" w:rsidR="00000000" w:rsidRPr="00000000">
        <w:rPr>
          <w:rtl w:val="0"/>
        </w:rPr>
        <w:t xml:space="preserve">Factores Facilitadores y Obstaculizadores</w:t>
      </w:r>
    </w:p>
    <w:p w:rsidR="00000000" w:rsidDel="00000000" w:rsidP="00000000" w:rsidRDefault="00000000" w:rsidRPr="00000000" w14:paraId="000000B8">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Factores Facilitadores (Palancas)</w:t>
      </w:r>
    </w:p>
    <w:p w:rsidR="00000000" w:rsidDel="00000000" w:rsidP="00000000" w:rsidRDefault="00000000" w:rsidRPr="00000000" w14:paraId="000000B9">
      <w:pPr>
        <w:numPr>
          <w:ilvl w:val="0"/>
          <w:numId w:val="5"/>
        </w:numPr>
        <w:spacing w:after="200" w:before="20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La dependencia directa del CFO otorga prioridad absoluta y recursos financieros ágiles ("tarjeta ilimitada").</w:t>
      </w:r>
    </w:p>
    <w:p w:rsidR="00000000" w:rsidDel="00000000" w:rsidP="00000000" w:rsidRDefault="00000000" w:rsidRPr="00000000" w14:paraId="000000BA">
      <w:pPr>
        <w:numPr>
          <w:ilvl w:val="0"/>
          <w:numId w:val="5"/>
        </w:numPr>
        <w:spacing w:after="200" w:before="20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Las 7 personas clave del proyecto poseen una alta competencia técnica y un "pase de gol" que les permite sortear la burocracia jerárquica para resolver cuellos de botella diarios.</w:t>
      </w:r>
    </w:p>
    <w:p w:rsidR="00000000" w:rsidDel="00000000" w:rsidP="00000000" w:rsidRDefault="00000000" w:rsidRPr="00000000" w14:paraId="000000BB">
      <w:pPr>
        <w:numPr>
          <w:ilvl w:val="0"/>
          <w:numId w:val="5"/>
        </w:numPr>
        <w:spacing w:after="200" w:before="20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Embraer S.A. al ser un fabricante brasileño operando en Brasil bajo la regulación de la ANAC, se reducen las fricciones de importación y logística de componentes físicos básicos.</w:t>
      </w:r>
    </w:p>
    <w:p w:rsidR="00000000" w:rsidDel="00000000" w:rsidP="00000000" w:rsidRDefault="00000000" w:rsidRPr="00000000" w14:paraId="000000BC">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Factores Obstaculizadores (Barreras)</w:t>
      </w:r>
    </w:p>
    <w:p w:rsidR="00000000" w:rsidDel="00000000" w:rsidP="00000000" w:rsidRDefault="00000000" w:rsidRPr="00000000" w14:paraId="000000BD">
      <w:pPr>
        <w:numPr>
          <w:ilvl w:val="0"/>
          <w:numId w:val="2"/>
        </w:numPr>
        <w:spacing w:after="200" w:before="20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Las diferencias de comunicación entre la matriz chilena y los equipos brasileños pueden generar ambigüedades en la validación de compromisos y plazos.</w:t>
      </w:r>
    </w:p>
    <w:p w:rsidR="00000000" w:rsidDel="00000000" w:rsidP="00000000" w:rsidRDefault="00000000" w:rsidRPr="00000000" w14:paraId="000000BE">
      <w:pPr>
        <w:numPr>
          <w:ilvl w:val="0"/>
          <w:numId w:val="2"/>
        </w:numPr>
        <w:spacing w:after="200" w:before="20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Los incentivos funcionales no siempre están alineados: Comercial prioriza velocidad y crecimiento, mientras que Mantenimiento y Seguridad priorizan confiabilidad técnica y control de riesgo.</w:t>
      </w:r>
    </w:p>
    <w:p w:rsidR="00000000" w:rsidDel="00000000" w:rsidP="00000000" w:rsidRDefault="00000000" w:rsidRPr="00000000" w14:paraId="000000BF">
      <w:pPr>
        <w:numPr>
          <w:ilvl w:val="0"/>
          <w:numId w:val="2"/>
        </w:numPr>
        <w:spacing w:after="200" w:before="20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El alto respaldo presupuestario puede resolver contingencias inmediatas, pero también corre el riesgo de ocultar problemas de coordinación entre áreas.</w:t>
      </w:r>
    </w:p>
    <w:p w:rsidR="00000000" w:rsidDel="00000000" w:rsidP="00000000" w:rsidRDefault="00000000" w:rsidRPr="00000000" w14:paraId="000000C0">
      <w:pPr>
        <w:pStyle w:val="Heading2"/>
        <w:numPr>
          <w:ilvl w:val="1"/>
          <w:numId w:val="7"/>
        </w:numPr>
        <w:spacing w:after="200" w:line="276" w:lineRule="auto"/>
        <w:rPr>
          <w:rFonts w:ascii="Times New Roman" w:cs="Times New Roman" w:eastAsia="Times New Roman" w:hAnsi="Times New Roman"/>
          <w:b w:val="1"/>
          <w:bCs w:val="1"/>
          <w:i w:val="1"/>
          <w:iCs w:val="1"/>
          <w:sz w:val="24"/>
          <w:szCs w:val="24"/>
        </w:rPr>
      </w:pPr>
      <w:bookmarkStart w:colFirst="0" w:colLast="0" w:name="_wayaoaj4pyyc" w:id="17"/>
      <w:bookmarkEnd w:id="17"/>
      <w:r w:rsidDel="00000000" w:rsidR="00000000" w:rsidRPr="00000000">
        <w:rPr>
          <w:rtl w:val="0"/>
        </w:rPr>
        <w:t xml:space="preserve">Recomendaciones para la Alta Gerencia</w:t>
      </w:r>
    </w:p>
    <w:p w:rsidR="00000000" w:rsidDel="00000000" w:rsidP="00000000" w:rsidRDefault="00000000" w:rsidRPr="00000000" w14:paraId="000000C1">
      <w:pPr>
        <w:spacing w:after="200" w:before="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del análisis realizado, se proponen cinco recomendaciones orientadas a aumentar la probabilidad de éxito de la iniciativa. Estas recomendaciones se organizan según los tres lentes utilizados en el informe: diseño estratégico, política/poder y cultura organizacional.</w:t>
      </w:r>
    </w:p>
    <w:p w:rsidR="00000000" w:rsidDel="00000000" w:rsidP="00000000" w:rsidRDefault="00000000" w:rsidRPr="00000000" w14:paraId="000000C2">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Recomendación 1: Formalizar un protocolo de entrada en servicio acelerada.</w:t>
      </w:r>
      <w:r w:rsidDel="00000000" w:rsidR="00000000" w:rsidRPr="00000000">
        <w:rPr>
          <w:rtl w:val="0"/>
        </w:rPr>
      </w:r>
    </w:p>
    <w:p w:rsidR="00000000" w:rsidDel="00000000" w:rsidP="00000000" w:rsidRDefault="00000000" w:rsidRPr="00000000" w14:paraId="000000C3">
      <w:pPr>
        <w:spacing w:after="200" w:before="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lente de diseño estratégico, LATAM debería sistematizar el aprendizaje del proyecto Embraer mediante un protocolo aplicable a futuras incorporaciones de flota. Este protocolo debe definir cuándo se activa una estructura de proyecto acelerada, qué atribuciones tiene el equipo responsable, cuáles son los límites del “pase libre” y qué decisiones deben escalarse obligatoriamente por razones regulatorias, financieras o de seguridad.</w:t>
      </w:r>
    </w:p>
    <w:p w:rsidR="00000000" w:rsidDel="00000000" w:rsidP="00000000" w:rsidRDefault="00000000" w:rsidRPr="00000000" w14:paraId="000000C4">
      <w:pPr>
        <w:spacing w:after="200" w:before="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debería ser liderada por la Gerencia de Entrada en Servicio, en coordinación con la Dirección de Flota y Proyectos y la Vicepresidencia de Finanzas. En una primera etapa, el equipo EiS debería documentar las principales decisiones tomadas durante el proyecto, los bloqueos encontrados y los mecanismos que permitieron resolverlos. En una segunda etapa, esta información debería transformarse en un manual interno breve, orientado a proyectos con plazos excepcionales. De esta forma, la organización puede mantener la agilidad obtenida en este caso sin depender únicamente de arreglos informales o de la capacidad excepcional de un equipo reducido.</w:t>
      </w:r>
    </w:p>
    <w:p w:rsidR="00000000" w:rsidDel="00000000" w:rsidP="00000000" w:rsidRDefault="00000000" w:rsidRPr="00000000" w14:paraId="000000C5">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Recomendación 2: Crear indicadores compartidos entre Comercial, Operaciones y Mantenimiento.</w:t>
      </w:r>
      <w:r w:rsidDel="00000000" w:rsidR="00000000" w:rsidRPr="00000000">
        <w:rPr>
          <w:rtl w:val="0"/>
        </w:rPr>
      </w:r>
    </w:p>
    <w:p w:rsidR="00000000" w:rsidDel="00000000" w:rsidP="00000000" w:rsidRDefault="00000000" w:rsidRPr="00000000" w14:paraId="000000C6">
      <w:pPr>
        <w:spacing w:after="200" w:before="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lente político, uno de los principales riesgos del proyecto es que cada área evalúe la iniciativa según incentivos distintos. Comercial tiende a priorizar velocidad, rutas y captura de mercado, mientras que Mantenimiento, Seguridad y Operaciones priorizan confiabilidad técnica, certificación y reducción de riesgos. Para evitar que estas diferencias se transformen en bloqueos, se recomienda incorporar un indicador común de entrada en servicio segura y oportuna.</w:t>
      </w:r>
    </w:p>
    <w:p w:rsidR="00000000" w:rsidDel="00000000" w:rsidP="00000000" w:rsidRDefault="00000000" w:rsidRPr="00000000" w14:paraId="000000C7">
      <w:pPr>
        <w:spacing w:after="200" w:before="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indicador debería considerar, al menos, cumplimiento de hitos, certificación regulatoria, disponibilidad técnica, preparación de tripulaciones, disponibilidad de repuestos críticos y ausencia de incidentes relevantes durante los primeros meses de operación. No se trata de reemplazar los indicadores propios de cada área, sino de incorporar una métrica transversal que obligue a evaluar el proyecto como un resultado conjunto. La negociación con las áreas funcionales debería enfocarse en mostrar que este indicador no debilita sus prioridades, sino que las integra: Comercial mantiene el foco en la oportunidad de mercado, mientras que Mantenimiento y Seguridad aseguran que la velocidad no comprometa la operación.</w:t>
      </w:r>
    </w:p>
    <w:p w:rsidR="00000000" w:rsidDel="00000000" w:rsidP="00000000" w:rsidRDefault="00000000" w:rsidRPr="00000000" w14:paraId="000000C8">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Recomendación 3: Incorporar formalmente a la operación local brasileña en la toma de decisiones.</w:t>
      </w:r>
      <w:r w:rsidDel="00000000" w:rsidR="00000000" w:rsidRPr="00000000">
        <w:rPr>
          <w:rtl w:val="0"/>
        </w:rPr>
      </w:r>
    </w:p>
    <w:p w:rsidR="00000000" w:rsidDel="00000000" w:rsidP="00000000" w:rsidRDefault="00000000" w:rsidRPr="00000000" w14:paraId="000000C9">
      <w:pPr>
        <w:spacing w:after="200" w:before="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lente político y cultural, existe el riesgo de que el proyecto sea percibido como una iniciativa diseñada desde la matriz, pero ejecutada principalmente por equipos locales en Brasil. Para reducir esta tensión, se recomienda integrar formalmente a representantes de Mantenimiento, Operaciones y Aeropuertos de LATAM Brasil en las principales mesas de seguimiento del proyecto.</w:t>
      </w:r>
    </w:p>
    <w:p w:rsidR="00000000" w:rsidDel="00000000" w:rsidP="00000000" w:rsidRDefault="00000000" w:rsidRPr="00000000" w14:paraId="000000CA">
      <w:pPr>
        <w:spacing w:after="200" w:before="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incorporación debe ser más que informativa. Los representantes locales deberían participar en la identificación de riesgos, validación de plazos, revisión de procedimientos y preparación del traspaso desde el equipo EiS hacia la operación regular. El objetivo es que las áreas locales no solo reciban instrucciones, sino que también puedan influir en decisiones que afectarán directamente su trabajo diario. Esto permitiría anticipar resistencias, incorporar conocimiento operativo local y facilitar la adopción de la nueva flota una vez que termine la etapa intensiva del proyecto.</w:t>
      </w:r>
    </w:p>
    <w:p w:rsidR="00000000" w:rsidDel="00000000" w:rsidP="00000000" w:rsidRDefault="00000000" w:rsidRPr="00000000" w14:paraId="000000CB">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Recomendación 4: Establecer un protocolo de confirmación intercultural.</w:t>
      </w:r>
      <w:r w:rsidDel="00000000" w:rsidR="00000000" w:rsidRPr="00000000">
        <w:rPr>
          <w:rtl w:val="0"/>
        </w:rPr>
      </w:r>
    </w:p>
    <w:p w:rsidR="00000000" w:rsidDel="00000000" w:rsidP="00000000" w:rsidRDefault="00000000" w:rsidRPr="00000000" w14:paraId="000000CC">
      <w:pPr>
        <w:spacing w:after="200" w:before="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lente cultural, las diferencias de comunicación entre equipos chilenos, brasileños y colombianos pueden generar ambigüedades en la coordinación. La entrevista muestra que expresiones informales pueden ser interpretadas de manera distinta según la cultura del equipo, lo que puede producir una falsa sensación de acuerdo o avance.</w:t>
      </w:r>
    </w:p>
    <w:p w:rsidR="00000000" w:rsidDel="00000000" w:rsidP="00000000" w:rsidRDefault="00000000" w:rsidRPr="00000000" w14:paraId="000000CD">
      <w:pPr>
        <w:spacing w:after="200" w:before="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enfrentar este riesgo, se recomienda que todo compromiso relevante quede registrado por escrito con tres elementos mínimos: responsable, fecha de entrega y principales riesgos o bloqueos identificados. Esta práctica no busca burocratizar el proyecto, sino transformar acuerdos informales en compromisos verificables. La implementación debería ser liderada por los PMO del proyecto, quienes tendrían que aplicar este protocolo en reuniones de seguimiento, acuerdos técnicos y coordinaciones entre Chile y Brasil. Así, la organización puede reducir malentendidos sin eliminar la flexibilidad que caracteriza al equipo EiS.</w:t>
      </w:r>
    </w:p>
    <w:p w:rsidR="00000000" w:rsidDel="00000000" w:rsidP="00000000" w:rsidRDefault="00000000" w:rsidRPr="00000000" w14:paraId="000000CE">
      <w:pPr>
        <w:spacing w:after="200" w:before="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Recomendación 5: Reconocer el aporte de las áreas operativas locales.</w:t>
      </w:r>
      <w:r w:rsidDel="00000000" w:rsidR="00000000" w:rsidRPr="00000000">
        <w:rPr>
          <w:rtl w:val="0"/>
        </w:rPr>
      </w:r>
    </w:p>
    <w:p w:rsidR="00000000" w:rsidDel="00000000" w:rsidP="00000000" w:rsidRDefault="00000000" w:rsidRPr="00000000" w14:paraId="000000CF">
      <w:pPr>
        <w:spacing w:after="200" w:before="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desde el lente cultural, LATAM debería evitar que la historia interna del proyecto se concentre únicamente en el equipo central de EiS. Aunque este equipo cumple un rol clave, la entrada en servicio también depende del trabajo de mantenimiento, operaciones, aeropuertos, capacitación, proveedores y equipos locales en Brasil. Si estos actores no son reconocidos, puede reforzarse la percepción de que el proyecto fue impuesto desde la matriz.</w:t>
      </w:r>
    </w:p>
    <w:p w:rsidR="00000000" w:rsidDel="00000000" w:rsidP="00000000" w:rsidRDefault="00000000" w:rsidRPr="00000000" w14:paraId="000000D0">
      <w:pPr>
        <w:spacing w:after="200" w:before="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una vez alcanzados los primeros hitos de entrada en servicio, la compañía debería realizar una instancia formal de reconocimiento transversal. Esta actividad debería destacar tanto al equipo de proyecto como a las áreas operativas brasileñas que facilitaron la certificación, preparación técnica y puesta en marcha. Además, los aprendizajes del proyecto deberían ser incorporados en documentos internos y futuras capacitaciones, de manera que la iniciativa no quede solo como un éxito puntual, sino como una experiencia compartida de coordinación, adaptación cultural y aprendizaje organizacional.</w:t>
      </w:r>
    </w:p>
    <w:p w:rsidR="00000000" w:rsidDel="00000000" w:rsidP="00000000" w:rsidRDefault="00000000" w:rsidRPr="00000000" w14:paraId="000000D1">
      <w:pPr>
        <w:spacing w:after="200" w:before="20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1"/>
        <w:numPr>
          <w:ilvl w:val="0"/>
          <w:numId w:val="7"/>
        </w:numPr>
        <w:spacing w:after="200" w:line="276" w:lineRule="auto"/>
        <w:rPr>
          <w:rFonts w:ascii="Times New Roman" w:cs="Times New Roman" w:eastAsia="Times New Roman" w:hAnsi="Times New Roman"/>
          <w:b w:val="1"/>
          <w:bCs w:val="1"/>
          <w:sz w:val="24"/>
          <w:szCs w:val="24"/>
        </w:rPr>
      </w:pPr>
      <w:bookmarkStart w:colFirst="0" w:colLast="0" w:name="_ad2yaz1ora6l" w:id="18"/>
      <w:bookmarkEnd w:id="18"/>
      <w:r w:rsidDel="00000000" w:rsidR="00000000" w:rsidRPr="00000000">
        <w:rPr>
          <w:rtl w:val="0"/>
        </w:rPr>
        <w:t xml:space="preserve">Bibliografía</w:t>
      </w:r>
      <w:r w:rsidDel="00000000" w:rsidR="00000000" w:rsidRPr="00000000">
        <w:rPr>
          <w:rtl w:val="0"/>
        </w:rPr>
      </w:r>
    </w:p>
    <w:p w:rsidR="00000000" w:rsidDel="00000000" w:rsidP="00000000" w:rsidRDefault="00000000" w:rsidRPr="00000000" w14:paraId="000000F4">
      <w:pPr>
        <w:spacing w:after="200" w:before="200" w:lineRule="auto"/>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LATAM Airlines Group. (2024). </w:t>
      </w:r>
      <w:r w:rsidDel="00000000" w:rsidR="00000000" w:rsidRPr="00000000">
        <w:rPr>
          <w:rFonts w:ascii="Times New Roman" w:cs="Times New Roman" w:eastAsia="Times New Roman" w:hAnsi="Times New Roman"/>
          <w:i w:val="1"/>
          <w:iCs w:val="1"/>
          <w:sz w:val="24"/>
          <w:szCs w:val="24"/>
          <w:rtl w:val="0"/>
        </w:rPr>
        <w:t xml:space="preserve">Memoria integrada anual 2024</w:t>
      </w:r>
      <w:r w:rsidDel="00000000" w:rsidR="00000000" w:rsidRPr="00000000">
        <w:rPr>
          <w:rFonts w:ascii="Times New Roman" w:cs="Times New Roman" w:eastAsia="Times New Roman" w:hAnsi="Times New Roman"/>
          <w:sz w:val="24"/>
          <w:szCs w:val="24"/>
          <w:rtl w:val="0"/>
        </w:rPr>
        <w:t xml:space="preserve">. LATAM Airlines Group. </w:t>
      </w:r>
    </w:p>
    <w:p w:rsidR="00000000" w:rsidDel="00000000" w:rsidP="00000000" w:rsidRDefault="00000000" w:rsidRPr="00000000" w14:paraId="000000F5">
      <w:pPr>
        <w:spacing w:after="200" w:before="200" w:lineRule="auto"/>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LATAM Airlines Group. (s. f.). </w:t>
      </w:r>
      <w:r w:rsidDel="00000000" w:rsidR="00000000" w:rsidRPr="00000000">
        <w:rPr>
          <w:rFonts w:ascii="Times New Roman" w:cs="Times New Roman" w:eastAsia="Times New Roman" w:hAnsi="Times New Roman"/>
          <w:i w:val="1"/>
          <w:iCs w:val="1"/>
          <w:sz w:val="24"/>
          <w:szCs w:val="24"/>
          <w:rtl w:val="0"/>
        </w:rPr>
        <w:t xml:space="preserve">Acerca de LATAM Airlines Group</w:t>
      </w:r>
      <w:r w:rsidDel="00000000" w:rsidR="00000000" w:rsidRPr="00000000">
        <w:rPr>
          <w:rFonts w:ascii="Times New Roman" w:cs="Times New Roman" w:eastAsia="Times New Roman" w:hAnsi="Times New Roman"/>
          <w:sz w:val="24"/>
          <w:szCs w:val="24"/>
          <w:rtl w:val="0"/>
        </w:rPr>
        <w:t xml:space="preserve">. Recuperado el 10 de mayo de 2026, de</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sz w:val="24"/>
            <w:szCs w:val="24"/>
            <w:u w:val="single"/>
            <w:rtl w:val="0"/>
          </w:rPr>
          <w:t xml:space="preserve">https://www.latamairlinesgroup.net/</w:t>
        </w:r>
      </w:hyperlink>
      <w:r w:rsidDel="00000000" w:rsidR="00000000" w:rsidRPr="00000000">
        <w:rPr>
          <w:rtl w:val="0"/>
        </w:rPr>
      </w:r>
    </w:p>
    <w:p w:rsidR="00000000" w:rsidDel="00000000" w:rsidP="00000000" w:rsidRDefault="00000000" w:rsidRPr="00000000" w14:paraId="000000F6">
      <w:pPr>
        <w:spacing w:after="200" w:before="200" w:lineRule="auto"/>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Majluf, N. (2011). </w:t>
      </w:r>
      <w:r w:rsidDel="00000000" w:rsidR="00000000" w:rsidRPr="00000000">
        <w:rPr>
          <w:rFonts w:ascii="Times New Roman" w:cs="Times New Roman" w:eastAsia="Times New Roman" w:hAnsi="Times New Roman"/>
          <w:i w:val="1"/>
          <w:iCs w:val="1"/>
          <w:sz w:val="24"/>
          <w:szCs w:val="24"/>
          <w:rtl w:val="0"/>
        </w:rPr>
        <w:t xml:space="preserve">Los desafíos de la gestión: De lo formal a lo sutil</w:t>
      </w:r>
      <w:r w:rsidDel="00000000" w:rsidR="00000000" w:rsidRPr="00000000">
        <w:rPr>
          <w:rFonts w:ascii="Times New Roman" w:cs="Times New Roman" w:eastAsia="Times New Roman" w:hAnsi="Times New Roman"/>
          <w:sz w:val="24"/>
          <w:szCs w:val="24"/>
          <w:rtl w:val="0"/>
        </w:rPr>
        <w:t xml:space="preserve">. Aguilar Chilena de Ediciones. </w:t>
      </w:r>
    </w:p>
    <w:p w:rsidR="00000000" w:rsidDel="00000000" w:rsidP="00000000" w:rsidRDefault="00000000" w:rsidRPr="00000000" w14:paraId="000000F7">
      <w:pPr>
        <w:spacing w:after="200" w:before="200" w:lineRule="auto"/>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Parulla</w:t>
      </w:r>
      <w:r w:rsidDel="00000000" w:rsidR="00000000" w:rsidRPr="00000000">
        <w:rPr>
          <w:rFonts w:ascii="Times New Roman" w:cs="Times New Roman" w:eastAsia="Times New Roman" w:hAnsi="Times New Roman"/>
          <w:sz w:val="24"/>
          <w:szCs w:val="24"/>
          <w:rtl w:val="0"/>
        </w:rPr>
        <w:t xml:space="preserve">, F. (2026). </w:t>
      </w:r>
      <w:r w:rsidDel="00000000" w:rsidR="00000000" w:rsidRPr="00000000">
        <w:rPr>
          <w:rFonts w:ascii="Times New Roman" w:cs="Times New Roman" w:eastAsia="Times New Roman" w:hAnsi="Times New Roman"/>
          <w:i w:val="1"/>
          <w:iCs w:val="1"/>
          <w:sz w:val="24"/>
          <w:szCs w:val="24"/>
          <w:rtl w:val="0"/>
        </w:rPr>
        <w:t xml:space="preserve">Entrevista semiestructurada sobre el proyecto de incorporación de flota Embraer E195-E2 en LATAM Airlines</w:t>
      </w:r>
      <w:r w:rsidDel="00000000" w:rsidR="00000000" w:rsidRPr="00000000">
        <w:rPr>
          <w:rFonts w:ascii="Times New Roman" w:cs="Times New Roman" w:eastAsia="Times New Roman" w:hAnsi="Times New Roman"/>
          <w:sz w:val="24"/>
          <w:szCs w:val="24"/>
          <w:rtl w:val="0"/>
        </w:rPr>
        <w:t xml:space="preserve"> [Transcripción de entrevista no publicada; fuente primaria]. </w:t>
      </w:r>
    </w:p>
    <w:p w:rsidR="00000000" w:rsidDel="00000000" w:rsidP="00000000" w:rsidRDefault="00000000" w:rsidRPr="00000000" w14:paraId="000000F8">
      <w:pPr>
        <w:spacing w:after="200" w:before="200" w:lineRule="auto"/>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Pfeffer, J. (2010). </w:t>
      </w:r>
      <w:r w:rsidDel="00000000" w:rsidR="00000000" w:rsidRPr="00000000">
        <w:rPr>
          <w:rFonts w:ascii="Times New Roman" w:cs="Times New Roman" w:eastAsia="Times New Roman" w:hAnsi="Times New Roman"/>
          <w:i w:val="1"/>
          <w:iCs w:val="1"/>
          <w:sz w:val="24"/>
          <w:szCs w:val="24"/>
          <w:rtl w:val="0"/>
        </w:rPr>
        <w:t xml:space="preserve">Power play</w:t>
      </w:r>
      <w:r w:rsidDel="00000000" w:rsidR="00000000" w:rsidRPr="00000000">
        <w:rPr>
          <w:rFonts w:ascii="Times New Roman" w:cs="Times New Roman" w:eastAsia="Times New Roman" w:hAnsi="Times New Roman"/>
          <w:sz w:val="24"/>
          <w:szCs w:val="24"/>
          <w:rtl w:val="0"/>
        </w:rPr>
        <w:t xml:space="preserve">. Harvard Business Review. </w:t>
      </w:r>
    </w:p>
    <w:p w:rsidR="00000000" w:rsidDel="00000000" w:rsidP="00000000" w:rsidRDefault="00000000" w:rsidRPr="00000000" w14:paraId="000000F9">
      <w:pPr>
        <w:spacing w:after="200" w:before="200" w:lineRule="auto"/>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Pfeffer, J., &amp; Sutton, R. I. (2006). </w:t>
      </w:r>
      <w:r w:rsidDel="00000000" w:rsidR="00000000" w:rsidRPr="00000000">
        <w:rPr>
          <w:rFonts w:ascii="Times New Roman" w:cs="Times New Roman" w:eastAsia="Times New Roman" w:hAnsi="Times New Roman"/>
          <w:i w:val="1"/>
          <w:iCs w:val="1"/>
          <w:sz w:val="24"/>
          <w:szCs w:val="24"/>
          <w:rtl w:val="0"/>
        </w:rPr>
        <w:t xml:space="preserve">Hard facts, dangerous half-truths, and total nonsense: Profiting from evidence-based management</w:t>
      </w:r>
      <w:r w:rsidDel="00000000" w:rsidR="00000000" w:rsidRPr="00000000">
        <w:rPr>
          <w:rFonts w:ascii="Times New Roman" w:cs="Times New Roman" w:eastAsia="Times New Roman" w:hAnsi="Times New Roman"/>
          <w:sz w:val="24"/>
          <w:szCs w:val="24"/>
          <w:rtl w:val="0"/>
        </w:rPr>
        <w:t xml:space="preserve">. Harvard Business School Press.</w:t>
      </w:r>
    </w:p>
    <w:p w:rsidR="00000000" w:rsidDel="00000000" w:rsidP="00000000" w:rsidRDefault="00000000" w:rsidRPr="00000000" w14:paraId="000000FA">
      <w:pPr>
        <w:spacing w:after="200" w:before="200" w:lineRule="auto"/>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Porter, M. E. (1996). What is strategy? </w:t>
      </w:r>
      <w:r w:rsidDel="00000000" w:rsidR="00000000" w:rsidRPr="00000000">
        <w:rPr>
          <w:rFonts w:ascii="Times New Roman" w:cs="Times New Roman" w:eastAsia="Times New Roman" w:hAnsi="Times New Roman"/>
          <w:i w:val="1"/>
          <w:iCs w:val="1"/>
          <w:sz w:val="24"/>
          <w:szCs w:val="24"/>
          <w:rtl w:val="0"/>
        </w:rPr>
        <w:t xml:space="preserve">Harvard Business Review, 74</w:t>
      </w:r>
      <w:r w:rsidDel="00000000" w:rsidR="00000000" w:rsidRPr="00000000">
        <w:rPr>
          <w:rFonts w:ascii="Times New Roman" w:cs="Times New Roman" w:eastAsia="Times New Roman" w:hAnsi="Times New Roman"/>
          <w:sz w:val="24"/>
          <w:szCs w:val="24"/>
          <w:rtl w:val="0"/>
        </w:rPr>
        <w:t xml:space="preserve">(6), 61–78.</w:t>
      </w:r>
    </w:p>
    <w:p w:rsidR="00000000" w:rsidDel="00000000" w:rsidP="00000000" w:rsidRDefault="00000000" w:rsidRPr="00000000" w14:paraId="000000FB">
      <w:pPr>
        <w:spacing w:after="200" w:before="200" w:lineRule="auto"/>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Robbins, S. P., &amp; Coulter, M. (2017). </w:t>
      </w:r>
      <w:r w:rsidDel="00000000" w:rsidR="00000000" w:rsidRPr="00000000">
        <w:rPr>
          <w:rFonts w:ascii="Times New Roman" w:cs="Times New Roman" w:eastAsia="Times New Roman" w:hAnsi="Times New Roman"/>
          <w:i w:val="1"/>
          <w:iCs w:val="1"/>
          <w:sz w:val="24"/>
          <w:szCs w:val="24"/>
          <w:rtl w:val="0"/>
        </w:rPr>
        <w:t xml:space="preserve">Administración</w:t>
      </w:r>
      <w:r w:rsidDel="00000000" w:rsidR="00000000" w:rsidRPr="00000000">
        <w:rPr>
          <w:rFonts w:ascii="Times New Roman" w:cs="Times New Roman" w:eastAsia="Times New Roman" w:hAnsi="Times New Roman"/>
          <w:sz w:val="24"/>
          <w:szCs w:val="24"/>
          <w:rtl w:val="0"/>
        </w:rPr>
        <w:t xml:space="preserve"> (13.ª ed.). Pearson. </w:t>
      </w:r>
    </w:p>
    <w:p w:rsidR="00000000" w:rsidDel="00000000" w:rsidP="00000000" w:rsidRDefault="00000000" w:rsidRPr="00000000" w14:paraId="000000FC">
      <w:pPr>
        <w:spacing w:after="200" w:before="200" w:lineRule="auto"/>
        <w:ind w:left="720.0000000000001"/>
        <w:jc w:val="both"/>
        <w:rPr/>
      </w:pPr>
      <w:r w:rsidDel="00000000" w:rsidR="00000000" w:rsidRPr="00000000">
        <w:rPr>
          <w:rFonts w:ascii="Times New Roman" w:cs="Times New Roman" w:eastAsia="Times New Roman" w:hAnsi="Times New Roman"/>
          <w:sz w:val="24"/>
          <w:szCs w:val="24"/>
          <w:rtl w:val="0"/>
        </w:rPr>
        <w:t xml:space="preserve">Xu, F., Wu, L., &amp; Evans, J. (2022). Flat teams drive scientific innovation. </w:t>
      </w:r>
      <w:r w:rsidDel="00000000" w:rsidR="00000000" w:rsidRPr="00000000">
        <w:rPr>
          <w:rFonts w:ascii="Times New Roman" w:cs="Times New Roman" w:eastAsia="Times New Roman" w:hAnsi="Times New Roman"/>
          <w:i w:val="1"/>
          <w:iCs w:val="1"/>
          <w:sz w:val="24"/>
          <w:szCs w:val="24"/>
          <w:rtl w:val="0"/>
        </w:rPr>
        <w:t xml:space="preserve">Proceedings of the National Academy of Sciences, 119</w:t>
      </w:r>
      <w:r w:rsidDel="00000000" w:rsidR="00000000" w:rsidRPr="00000000">
        <w:rPr>
          <w:rFonts w:ascii="Times New Roman" w:cs="Times New Roman" w:eastAsia="Times New Roman" w:hAnsi="Times New Roman"/>
          <w:sz w:val="24"/>
          <w:szCs w:val="24"/>
          <w:rtl w:val="0"/>
        </w:rPr>
        <w:t xml:space="preserve">(23), e2200927119.</w:t>
      </w:r>
      <w:hyperlink r:id="rId8">
        <w:r w:rsidDel="00000000" w:rsidR="00000000" w:rsidRPr="00000000">
          <w:rPr>
            <w:rFonts w:ascii="Times New Roman" w:cs="Times New Roman" w:eastAsia="Times New Roman" w:hAnsi="Times New Roman"/>
            <w:sz w:val="24"/>
            <w:szCs w:val="24"/>
            <w:rtl w:val="0"/>
          </w:rPr>
          <w:t xml:space="preserve"> https://doi.org/10.1073/pnas.2200927119</w:t>
        </w:r>
      </w:hyperlink>
      <w:r w:rsidDel="00000000" w:rsidR="00000000" w:rsidRPr="00000000">
        <w:rPr>
          <w:rtl w:val="0"/>
        </w:rPr>
      </w:r>
    </w:p>
    <w:p w:rsidR="00000000" w:rsidDel="00000000" w:rsidP="00000000" w:rsidRDefault="00000000" w:rsidRPr="00000000" w14:paraId="000000FD">
      <w:pPr>
        <w:pStyle w:val="Heading1"/>
        <w:numPr>
          <w:ilvl w:val="0"/>
          <w:numId w:val="7"/>
        </w:numPr>
        <w:spacing w:after="200" w:lineRule="auto"/>
        <w:rPr>
          <w:rFonts w:ascii="Times New Roman" w:cs="Times New Roman" w:eastAsia="Times New Roman" w:hAnsi="Times New Roman"/>
          <w:b w:val="1"/>
          <w:bCs w:val="1"/>
          <w:sz w:val="24"/>
          <w:szCs w:val="24"/>
        </w:rPr>
      </w:pPr>
      <w:bookmarkStart w:colFirst="0" w:colLast="0" w:name="_dtdd116avrch" w:id="19"/>
      <w:bookmarkEnd w:id="19"/>
      <w:r w:rsidDel="00000000" w:rsidR="00000000" w:rsidRPr="00000000">
        <w:rPr>
          <w:rtl w:val="0"/>
        </w:rPr>
        <w:t xml:space="preserve">Anexos</w:t>
      </w:r>
    </w:p>
    <w:p w:rsidR="00000000" w:rsidDel="00000000" w:rsidP="00000000" w:rsidRDefault="00000000" w:rsidRPr="00000000" w14:paraId="000000FE">
      <w:pPr>
        <w:spacing w:after="20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 A: Estructura del escuadrón de proyecto </w:t>
      </w:r>
    </w:p>
    <w:p w:rsidR="00000000" w:rsidDel="00000000" w:rsidP="00000000" w:rsidRDefault="00000000" w:rsidRPr="00000000" w14:paraId="000000FF">
      <w:pPr>
        <w:spacing w:after="200" w:before="200" w:lineRule="auto"/>
        <w:ind w:firstLine="720.000000000000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0000" cy="21528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680000" cy="21528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0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Figura A.1. Estructura del Escuadrón de Proyecto. El equipo está compuesto por 7 personas clave: 1 Gerente de Entrada en Servicio, 3 PMOs (Project Management Officers) y 3 Ingenieros de flota. Esta estructura mínima permite la agilidad necesaria para el cumplimiento de hitos en el plazo de 10 meses. Elaboración propia.</w:t>
      </w:r>
    </w:p>
    <w:p w:rsidR="00000000" w:rsidDel="00000000" w:rsidP="00000000" w:rsidRDefault="00000000" w:rsidRPr="00000000" w14:paraId="00000101">
      <w:pPr>
        <w:spacing w:after="20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 B: Comparativa de plazos de implementación </w:t>
      </w:r>
    </w:p>
    <w:p w:rsidR="00000000" w:rsidDel="00000000" w:rsidP="00000000" w:rsidRDefault="00000000" w:rsidRPr="00000000" w14:paraId="00000102">
      <w:pPr>
        <w:spacing w:after="200" w:before="200" w:lineRule="auto"/>
        <w:ind w:firstLine="720.000000000000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76775" cy="1418549"/>
            <wp:effectExtent b="0" l="0" r="0" t="0"/>
            <wp:docPr id="2" name="image3.png"/>
            <a:graphic>
              <a:graphicData uri="http://schemas.openxmlformats.org/drawingml/2006/picture">
                <pic:pic>
                  <pic:nvPicPr>
                    <pic:cNvPr id="0" name="image3.png"/>
                    <pic:cNvPicPr preferRelativeResize="0"/>
                  </pic:nvPicPr>
                  <pic:blipFill>
                    <a:blip r:embed="rId10"/>
                    <a:srcRect b="32848" l="0" r="0" t="12921"/>
                    <a:stretch>
                      <a:fillRect/>
                    </a:stretch>
                  </pic:blipFill>
                  <pic:spPr>
                    <a:xfrm>
                      <a:off x="0" y="0"/>
                      <a:ext cx="4676775" cy="1418549"/>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20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0"/>
          <w:szCs w:val="20"/>
          <w:rtl w:val="0"/>
        </w:rPr>
        <w:t xml:space="preserve">Figura B.1. Comparativa de Plazos de Implementación. El estándar industrial para la entrada en servicio de una flota nueva es de aproximadamente 24 meses. La iniciativa actual tiene un plazo objetivo de 10 meses, lo que implica una reducción del 58% en el tiempo de ejecución habitual, justificando la necesidad de una estructura plana y flexible.  Elaboración propia.</w:t>
      </w:r>
      <w:r w:rsidDel="00000000" w:rsidR="00000000" w:rsidRPr="00000000">
        <w:rPr>
          <w:rtl w:val="0"/>
        </w:rPr>
      </w:r>
    </w:p>
    <w:p w:rsidR="00000000" w:rsidDel="00000000" w:rsidP="00000000" w:rsidRDefault="00000000" w:rsidRPr="00000000" w14:paraId="00000104">
      <w:pPr>
        <w:spacing w:after="20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 C: Estructura organizacional del proyecto</w:t>
      </w:r>
    </w:p>
    <w:p w:rsidR="00000000" w:rsidDel="00000000" w:rsidP="00000000" w:rsidRDefault="00000000" w:rsidRPr="00000000" w14:paraId="00000105">
      <w:pPr>
        <w:spacing w:after="200" w:before="200" w:lineRule="auto"/>
        <w:ind w:firstLine="720.000000000000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48138" cy="3713603"/>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248138" cy="3713603"/>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00" w:before="200" w:lineRule="auto"/>
        <w:ind w:firstLine="720.000000000000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0"/>
          <w:szCs w:val="20"/>
          <w:rtl w:val="0"/>
        </w:rPr>
        <w:t xml:space="preserve">      Figura C.1. Estructura organizacional del proyecto</w:t>
      </w:r>
      <w:r w:rsidDel="00000000" w:rsidR="00000000" w:rsidRPr="00000000">
        <w:rPr>
          <w:rtl w:val="0"/>
        </w:rPr>
      </w:r>
    </w:p>
    <w:sectPr>
      <w:headerReference r:id="rId12" w:type="default"/>
      <w:headerReference r:id="rId13" w:type="first"/>
      <w:footerReference r:id="rId14" w:type="default"/>
      <w:footerReference r:id="rId15" w:type="first"/>
      <w:type w:val="nextPage"/>
      <w:pgSz w:h="15840" w:w="12240" w:orient="portrait"/>
      <w:pgMar w:bottom="1417.3228346456694" w:top="1417.3228346456694" w:left="1417.3228346456694" w:right="1417.3228346456694" w:header="720.0000000000001"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57150" distT="57150" distL="57150" distR="57150" hidden="0" layoutInCell="1" locked="0" relativeHeight="0" simplePos="0">
          <wp:simplePos x="0" y="0"/>
          <wp:positionH relativeFrom="column">
            <wp:posOffset>-581024</wp:posOffset>
          </wp:positionH>
          <wp:positionV relativeFrom="paragraph">
            <wp:posOffset>19051</wp:posOffset>
          </wp:positionV>
          <wp:extent cx="787774" cy="1095640"/>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7774" cy="1095640"/>
                  </a:xfrm>
                  <a:prstGeom prst="rect"/>
                  <a:ln/>
                </pic:spPr>
              </pic:pic>
            </a:graphicData>
          </a:graphic>
        </wp:anchor>
      </w:drawing>
    </w:r>
  </w:p>
  <w:p w:rsidR="00000000" w:rsidDel="00000000" w:rsidP="00000000" w:rsidRDefault="00000000" w:rsidRPr="00000000" w14:paraId="0000010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Pontificia Universidad Católica de Chile</w:t>
    </w:r>
  </w:p>
  <w:p w:rsidR="00000000" w:rsidDel="00000000" w:rsidP="00000000" w:rsidRDefault="00000000" w:rsidRPr="00000000" w14:paraId="0000010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Escuela de Ingeniería</w:t>
    </w:r>
  </w:p>
  <w:p w:rsidR="00000000" w:rsidDel="00000000" w:rsidP="00000000" w:rsidRDefault="00000000" w:rsidRPr="00000000" w14:paraId="0000010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Departamento de Ingeniería Industrial y de Sistemas</w:t>
    </w:r>
  </w:p>
  <w:p w:rsidR="00000000" w:rsidDel="00000000" w:rsidP="00000000" w:rsidRDefault="00000000" w:rsidRPr="00000000" w14:paraId="0000010E">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ICS2813</w:t>
    </w:r>
    <w:r w:rsidDel="00000000" w:rsidR="00000000" w:rsidRPr="00000000">
      <w:rPr>
        <w:rFonts w:ascii="Times New Roman" w:cs="Times New Roman" w:eastAsia="Times New Roman" w:hAnsi="Times New Roman"/>
        <w:sz w:val="24"/>
        <w:szCs w:val="24"/>
        <w:rtl w:val="0"/>
      </w:rPr>
      <w:t xml:space="preserve"> Organización y Comportamiento en la Empresa, sección 1</w:t>
    </w:r>
  </w:p>
  <w:p w:rsidR="00000000" w:rsidDel="00000000" w:rsidP="00000000" w:rsidRDefault="00000000" w:rsidRPr="00000000" w14:paraId="0000010F">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992.1259842519685" w:hanging="283.4645669291337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240" w:lineRule="auto"/>
      <w:ind w:left="720" w:hanging="360"/>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before="200" w:line="240" w:lineRule="auto"/>
      <w:ind w:left="992.1259842519685" w:hanging="283.46456692913375"/>
      <w:jc w:val="both"/>
    </w:pPr>
    <w:rPr>
      <w:rFonts w:ascii="Times New Roman" w:cs="Times New Roman" w:eastAsia="Times New Roman" w:hAnsi="Times New Roman"/>
      <w:b w:val="1"/>
      <w:bCs w:val="1"/>
      <w:i w:val="1"/>
      <w:i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latamairlinesgroup.net/" TargetMode="External"/><Relationship Id="rId7" Type="http://schemas.openxmlformats.org/officeDocument/2006/relationships/hyperlink" Target="https://www.latamairlinesgroup.net/" TargetMode="External"/><Relationship Id="rId8" Type="http://schemas.openxmlformats.org/officeDocument/2006/relationships/hyperlink" Target="https://doi.org/10.1073/pnas.2200927119"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