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17.3228346456694" w:top="1417.3228346456694" w:left="1417.3228346456694" w:right="1417.3228346456694" w:header="720" w:footer="720"/>
          <w:pgNumType w:start="1"/>
        </w:sectPr>
      </w:pPr>
      <w:bookmarkStart w:colFirst="0" w:colLast="0" w:name="_gv1anz4742u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Entrega de informe ING1001 Práctica I</w:t>
      </w:r>
      <w:r w:rsidDel="00000000" w:rsidR="00000000" w:rsidRPr="00000000">
        <w:rPr>
          <w:rtl w:val="0"/>
        </w:rPr>
      </w:r>
    </w:p>
    <w:p w:rsidR="00000000" w:rsidDel="00000000" w:rsidP="00000000" w:rsidRDefault="00000000" w:rsidRPr="00000000" w14:paraId="0000000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0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Style w:val="Title"/>
        <w:spacing w:line="240" w:lineRule="auto"/>
        <w:jc w:val="center"/>
        <w:rPr>
          <w:rFonts w:ascii="Times New Roman" w:cs="Times New Roman" w:eastAsia="Times New Roman" w:hAnsi="Times New Roman"/>
          <w:sz w:val="48"/>
          <w:szCs w:val="48"/>
        </w:rPr>
      </w:pPr>
      <w:bookmarkStart w:colFirst="0" w:colLast="0" w:name="_9k5cowwgdpcu" w:id="1"/>
      <w:bookmarkEnd w:id="1"/>
      <w:r w:rsidDel="00000000" w:rsidR="00000000" w:rsidRPr="00000000">
        <w:rPr>
          <w:rFonts w:ascii="Times New Roman" w:cs="Times New Roman" w:eastAsia="Times New Roman" w:hAnsi="Times New Roman"/>
          <w:sz w:val="48"/>
          <w:szCs w:val="48"/>
          <w:rtl w:val="0"/>
        </w:rPr>
        <w:t xml:space="preserve">Entrega 2</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Integrantes grupo 60:</w:t>
      </w:r>
      <w:r w:rsidDel="00000000" w:rsidR="00000000" w:rsidRPr="00000000">
        <w:rPr>
          <w:rtl w:val="0"/>
        </w:rPr>
      </w:r>
    </w:p>
    <w:p w:rsidR="00000000" w:rsidDel="00000000" w:rsidP="00000000" w:rsidRDefault="00000000" w:rsidRPr="00000000" w14:paraId="00000013">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Franco Nicolai Corvalán Mansourova</w:t>
      </w:r>
    </w:p>
    <w:p w:rsidR="00000000" w:rsidDel="00000000" w:rsidP="00000000" w:rsidRDefault="00000000" w:rsidRPr="00000000" w14:paraId="00000014">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Paulo Gabriel Oses Darrigrande.</w:t>
      </w:r>
    </w:p>
    <w:p w:rsidR="00000000" w:rsidDel="00000000" w:rsidP="00000000" w:rsidRDefault="00000000" w:rsidRPr="00000000" w14:paraId="00000015">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Vicente Olea Concha</w:t>
      </w:r>
    </w:p>
    <w:p w:rsidR="00000000" w:rsidDel="00000000" w:rsidP="00000000" w:rsidRDefault="00000000" w:rsidRPr="00000000" w14:paraId="00000016">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Catalina Rivas Barraza</w:t>
      </w:r>
    </w:p>
    <w:p w:rsidR="00000000" w:rsidDel="00000000" w:rsidP="00000000" w:rsidRDefault="00000000" w:rsidRPr="00000000" w14:paraId="00000017">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Ian Diethelm Apablaza</w:t>
      </w:r>
    </w:p>
    <w:p w:rsidR="00000000" w:rsidDel="00000000" w:rsidP="00000000" w:rsidRDefault="00000000" w:rsidRPr="00000000" w14:paraId="00000018">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tl w:val="0"/>
        </w:rPr>
      </w:r>
    </w:p>
    <w:p w:rsidR="00000000" w:rsidDel="00000000" w:rsidP="00000000" w:rsidRDefault="00000000" w:rsidRPr="00000000" w14:paraId="00000019">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de Contenidos</w:t>
      </w:r>
    </w:p>
    <w:sdt>
      <w:sdtPr>
        <w:id w:val="-739362733"/>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rFonts w:ascii="Times New Roman" w:cs="Times New Roman" w:eastAsia="Times New Roman" w:hAnsi="Times New Roman"/>
              <w:sz w:val="20"/>
              <w:szCs w:val="20"/>
            </w:rPr>
          </w:pPr>
          <w:r w:rsidDel="00000000" w:rsidR="00000000" w:rsidRPr="00000000">
            <w:fldChar w:fldCharType="begin"/>
            <w:instrText xml:space="preserve"> TOC \h \u \z \t "Heading 1,1,Heading 2,3,Heading 3,3,Heading 4,4,Heading 5,5,Heading 6,6,"</w:instrText>
            <w:fldChar w:fldCharType="separate"/>
          </w:r>
          <w:hyperlink w:anchor="_2v27r057zelu">
            <w:r w:rsidDel="00000000" w:rsidR="00000000" w:rsidRPr="00000000">
              <w:rPr>
                <w:rFonts w:ascii="Times New Roman" w:cs="Times New Roman" w:eastAsia="Times New Roman" w:hAnsi="Times New Roman"/>
                <w:sz w:val="20"/>
                <w:szCs w:val="20"/>
                <w:rtl w:val="0"/>
              </w:rPr>
              <w:t xml:space="preserve">I. Descripción y justificación de la iteraciones de su solución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Times New Roman" w:cs="Times New Roman" w:eastAsia="Times New Roman" w:hAnsi="Times New Roman"/>
              <w:sz w:val="20"/>
              <w:szCs w:val="20"/>
            </w:rPr>
          </w:pPr>
          <w:hyperlink w:anchor="_vgw6t5qkph8p">
            <w:r w:rsidDel="00000000" w:rsidR="00000000" w:rsidRPr="00000000">
              <w:rPr>
                <w:rFonts w:ascii="Times New Roman" w:cs="Times New Roman" w:eastAsia="Times New Roman" w:hAnsi="Times New Roman"/>
                <w:sz w:val="20"/>
                <w:szCs w:val="20"/>
                <w:rtl w:val="0"/>
              </w:rPr>
              <w:t xml:space="preserve">II. Evidencia científica</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Times New Roman" w:cs="Times New Roman" w:eastAsia="Times New Roman" w:hAnsi="Times New Roman"/>
              <w:sz w:val="20"/>
              <w:szCs w:val="20"/>
            </w:rPr>
          </w:pPr>
          <w:hyperlink w:anchor="_qqnfj3vizgx3">
            <w:r w:rsidDel="00000000" w:rsidR="00000000" w:rsidRPr="00000000">
              <w:rPr>
                <w:rFonts w:ascii="Times New Roman" w:cs="Times New Roman" w:eastAsia="Times New Roman" w:hAnsi="Times New Roman"/>
                <w:sz w:val="20"/>
                <w:szCs w:val="20"/>
                <w:rtl w:val="0"/>
              </w:rPr>
              <w:t xml:space="preserve">III. Protocolo de salida</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Times New Roman" w:cs="Times New Roman" w:eastAsia="Times New Roman" w:hAnsi="Times New Roman"/>
              <w:sz w:val="20"/>
              <w:szCs w:val="20"/>
            </w:rPr>
          </w:pPr>
          <w:hyperlink w:anchor="_5kiys6ieeoo5">
            <w:r w:rsidDel="00000000" w:rsidR="00000000" w:rsidRPr="00000000">
              <w:rPr>
                <w:rFonts w:ascii="Times New Roman" w:cs="Times New Roman" w:eastAsia="Times New Roman" w:hAnsi="Times New Roman"/>
                <w:sz w:val="20"/>
                <w:szCs w:val="20"/>
                <w:rtl w:val="0"/>
              </w:rPr>
              <w:t xml:space="preserve">I . Objetivos Específicos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Times New Roman" w:cs="Times New Roman" w:eastAsia="Times New Roman" w:hAnsi="Times New Roman"/>
              <w:sz w:val="20"/>
              <w:szCs w:val="20"/>
            </w:rPr>
          </w:pPr>
          <w:hyperlink w:anchor="_gzh4kmmhkhl">
            <w:r w:rsidDel="00000000" w:rsidR="00000000" w:rsidRPr="00000000">
              <w:rPr>
                <w:rFonts w:ascii="Times New Roman" w:cs="Times New Roman" w:eastAsia="Times New Roman" w:hAnsi="Times New Roman"/>
                <w:sz w:val="20"/>
                <w:szCs w:val="20"/>
                <w:rtl w:val="0"/>
              </w:rPr>
              <w:t xml:space="preserve">IV. Acceso a video demo</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Times New Roman" w:cs="Times New Roman" w:eastAsia="Times New Roman" w:hAnsi="Times New Roman"/>
              <w:sz w:val="20"/>
              <w:szCs w:val="20"/>
            </w:rPr>
          </w:pPr>
          <w:hyperlink w:anchor="_j1qar24lyni2">
            <w:r w:rsidDel="00000000" w:rsidR="00000000" w:rsidRPr="00000000">
              <w:rPr>
                <w:rFonts w:ascii="Times New Roman" w:cs="Times New Roman" w:eastAsia="Times New Roman" w:hAnsi="Times New Roman"/>
                <w:sz w:val="20"/>
                <w:szCs w:val="20"/>
                <w:rtl w:val="0"/>
              </w:rPr>
              <w:t xml:space="preserve">V. Registro de Investigación Primaria:</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Times New Roman" w:cs="Times New Roman" w:eastAsia="Times New Roman" w:hAnsi="Times New Roman"/>
              <w:sz w:val="20"/>
              <w:szCs w:val="20"/>
            </w:rPr>
          </w:pPr>
          <w:hyperlink w:anchor="_fl08h5mwavo2">
            <w:r w:rsidDel="00000000" w:rsidR="00000000" w:rsidRPr="00000000">
              <w:rPr>
                <w:rFonts w:ascii="Times New Roman" w:cs="Times New Roman" w:eastAsia="Times New Roman" w:hAnsi="Times New Roman"/>
                <w:sz w:val="20"/>
                <w:szCs w:val="20"/>
                <w:rtl w:val="0"/>
              </w:rPr>
              <w:t xml:space="preserve">VI. Plan con pasos a seguir para construir un producto mínimo viable</w:t>
              <w:tab/>
              <w:t xml:space="preserve">17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Times New Roman" w:cs="Times New Roman" w:eastAsia="Times New Roman" w:hAnsi="Times New Roman"/>
              <w:sz w:val="20"/>
              <w:szCs w:val="20"/>
            </w:rPr>
          </w:pPr>
          <w:hyperlink w:anchor="_av5p4ymad8j4">
            <w:r w:rsidDel="00000000" w:rsidR="00000000" w:rsidRPr="00000000">
              <w:rPr>
                <w:rFonts w:ascii="Times New Roman" w:cs="Times New Roman" w:eastAsia="Times New Roman" w:hAnsi="Times New Roman"/>
                <w:sz w:val="20"/>
                <w:szCs w:val="20"/>
                <w:rtl w:val="0"/>
              </w:rPr>
              <w:t xml:space="preserve">VII. Contribuciones de cada integrante del equipo</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Times New Roman" w:cs="Times New Roman" w:eastAsia="Times New Roman" w:hAnsi="Times New Roman"/>
              <w:sz w:val="20"/>
              <w:szCs w:val="20"/>
            </w:rPr>
          </w:pPr>
          <w:hyperlink w:anchor="_x9br5kbj8vq6">
            <w:r w:rsidDel="00000000" w:rsidR="00000000" w:rsidRPr="00000000">
              <w:rPr>
                <w:rFonts w:ascii="Times New Roman" w:cs="Times New Roman" w:eastAsia="Times New Roman" w:hAnsi="Times New Roman"/>
                <w:sz w:val="20"/>
                <w:szCs w:val="20"/>
                <w:rtl w:val="0"/>
              </w:rPr>
              <w:t xml:space="preserve">VIII. Anexo 1: Descripción detallada de los estudios realizados en los papers citados</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Times New Roman" w:cs="Times New Roman" w:eastAsia="Times New Roman" w:hAnsi="Times New Roman"/>
              <w:sz w:val="20"/>
              <w:szCs w:val="20"/>
            </w:rPr>
          </w:pPr>
          <w:hyperlink w:anchor="_e3qztpuurs8k">
            <w:r w:rsidDel="00000000" w:rsidR="00000000" w:rsidRPr="00000000">
              <w:rPr>
                <w:rFonts w:ascii="Times New Roman" w:cs="Times New Roman" w:eastAsia="Times New Roman" w:hAnsi="Times New Roman"/>
                <w:sz w:val="20"/>
                <w:szCs w:val="20"/>
                <w:rtl w:val="0"/>
              </w:rPr>
              <w:t xml:space="preserve">IX. Bibliografía</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widowControl w:val="0"/>
        <w:tabs>
          <w:tab w:val="right" w:leader="dot" w:pos="12000"/>
        </w:tabs>
        <w:spacing w:before="6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pStyle w:val="Heading1"/>
        <w:numPr>
          <w:ilvl w:val="0"/>
          <w:numId w:val="5"/>
        </w:numPr>
        <w:spacing w:line="480" w:lineRule="auto"/>
        <w:ind w:left="720" w:hanging="360"/>
        <w:rPr>
          <w:rFonts w:ascii="Times New Roman" w:cs="Times New Roman" w:eastAsia="Times New Roman" w:hAnsi="Times New Roman"/>
          <w:b w:val="1"/>
          <w:bCs w:val="1"/>
          <w:sz w:val="24"/>
          <w:szCs w:val="24"/>
        </w:rPr>
      </w:pPr>
      <w:bookmarkStart w:colFirst="0" w:colLast="0" w:name="_2v27r057zelu" w:id="2"/>
      <w:bookmarkEnd w:id="2"/>
      <w:r w:rsidDel="00000000" w:rsidR="00000000" w:rsidRPr="00000000">
        <w:rPr>
          <w:rFonts w:ascii="Times New Roman" w:cs="Times New Roman" w:eastAsia="Times New Roman" w:hAnsi="Times New Roman"/>
          <w:b w:val="1"/>
          <w:bCs w:val="1"/>
          <w:sz w:val="24"/>
          <w:szCs w:val="24"/>
          <w:rtl w:val="0"/>
        </w:rPr>
        <w:t xml:space="preserve">Descripción y justificación de la iteraciones de su solución</w:t>
      </w:r>
    </w:p>
    <w:p w:rsidR="00000000" w:rsidDel="00000000" w:rsidP="00000000" w:rsidRDefault="00000000" w:rsidRPr="00000000" w14:paraId="0000003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Inicialmente, se propuso un monitor de tobillo para lactantes capaz de predecir el llanto mediante variables fisiológicas; sin embargo, se descartó al concluir que el exceso de datos técnicos podría generar una carga de ansiedad contraproducente en los padres en lugar de brindar tranquilidad, y que el mercado de monitores de bebés ya estaba bastante desarrollado y había mucha competencia. Posteriormente, volvimos a revisar las entrevistas, y vimos que otro problema que tenían algunos padres es poder entregarles una buena alimentación a sus hijos, por lo que el enfoque giró hacia la nutrición infantil, en donde nos enfocamos en solucionar dos problemas simultáneamente; por una parte, que la malnutrición infantil es un problema muy grave en Chile y por otra parte, que vimos en nuestras entrevistas que para los padres era un gran problema tener que cocinar cosas saludables para que los niños coman o comprar cosas saludables que luego a los niños no les gusten. En ese contexto, buscamos el posible desarrollo de un snack saludable, hecho con ingredientes naturales y fortificado para que pueda proveer todos los nutrientes necesarios para el correcto desarrollo de los niños. En esta etapa investigamos en distintas tecnologías de microencapsulación de nutrientes, entrevistamos a profesores del área de ingeniería biomédica, investigamos en distintas técnicas (como por ejemplo la liofilización) para saber cuáles son las distintas formas de obtener alta aceptación de un producto por aspectos como formas, texturas y  olores. Con esto buscábamos crear un producto de alta aceptabilidad </w:t>
      </w:r>
      <w:r w:rsidDel="00000000" w:rsidR="00000000" w:rsidRPr="00000000">
        <w:rPr>
          <w:rFonts w:ascii="Times New Roman" w:cs="Times New Roman" w:eastAsia="Times New Roman" w:hAnsi="Times New Roman"/>
          <w:sz w:val="24"/>
          <w:szCs w:val="24"/>
          <w:rtl w:val="0"/>
        </w:rPr>
        <w:t xml:space="preserve">por</w:t>
      </w:r>
      <w:r w:rsidDel="00000000" w:rsidR="00000000" w:rsidRPr="00000000">
        <w:rPr>
          <w:rFonts w:ascii="Times New Roman" w:cs="Times New Roman" w:eastAsia="Times New Roman" w:hAnsi="Times New Roman"/>
          <w:sz w:val="24"/>
          <w:szCs w:val="24"/>
          <w:rtl w:val="0"/>
        </w:rPr>
        <w:t xml:space="preserve"> los padres (por lo sano) y por los hijos (por el gusto); no obstante, la alta saturación del mercado y las barreras de costos para mantener una propuesta innovadora limitaron su escalabilidad.</w:t>
      </w:r>
    </w:p>
    <w:p w:rsidR="00000000" w:rsidDel="00000000" w:rsidP="00000000" w:rsidRDefault="00000000" w:rsidRPr="00000000" w14:paraId="0000003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tras revisar las distintas alternativas, convergimos en una solución concreta: un sistema dual de calma compuesto por un peluche vibrotáctil y una unidad sonora externa, diseñados para favorecer la autorregulación fisiológica del bebé en contextos de inquietud, llanto o preparación para el sueño. A diferencia de los monitores pasivos, este sistema no se limita a observar, sino que interviene activamente mediante dos vías complementarias: por una parte, el peluche entrega una vibración corporal suave y controlada; por otra, el emisor externo reproduce estímulos acústicos específicamente diseñados para inducir calma, inspirados en canciones de cuna, ruido continuo y patrones resonantes análogos a los del cuenco tibetano. En este punto resulta especialmente relevante la teoría de las ondas theta: la literatura sugiere que ciertos estímulos sonoros complejos, como los cuencos tibetanos, pueden incorporar modulaciones lentas o beats dentro del rango theta, asociado a somnolencia, meditación y transición hacia el sueño. Desde esta perspectiva, el objetivo del sistema no es “imponer” una frecuencia al cerebro, sino generar un entorno acústico-vibratorio de baja demanda atencional que favorezca el paso progresivo desde la alerta hacia un estado de mayor relajación y predisposición al descanso. Sobre esa base, el sistema incorpora además una capa de control automático adaptativo: mediante el monitoreo de señales indirectas como el llanto, el nivel de movimiento o la duración efectiva del asentamiento, el dispositivo puede aprender con el tiempo qué combinaciones de intensidad vibratoria, perfil sonoro, duración de sesión o modulación lenta resultan más eficaces para cada usuario, ajustando gradualmente su funcionamiento de manera personalizada. La arquitectura separada del producto responde, además, a una decisión técnica y de seguridad: permite transmitir la vibración por contacto físico sin exponer al bebé a una fuente sonora demasiado cercana al oído, al tiempo que mejora el control del volumen, de la duración de uso y de la calidad acústica. El sistema está pensado para ser operado exclusivamente por los cuidadores, ya sea mediante controles físicos simples o a través de una aplicación móvil que </w:t>
      </w:r>
      <w:r w:rsidDel="00000000" w:rsidR="00000000" w:rsidRPr="00000000">
        <w:rPr>
          <w:rFonts w:ascii="Times New Roman" w:cs="Times New Roman" w:eastAsia="Times New Roman" w:hAnsi="Times New Roman"/>
          <w:sz w:val="24"/>
          <w:szCs w:val="24"/>
          <w:rtl w:val="0"/>
        </w:rPr>
        <w:t xml:space="preserve">permita</w:t>
      </w:r>
      <w:r w:rsidDel="00000000" w:rsidR="00000000" w:rsidRPr="00000000">
        <w:rPr>
          <w:rFonts w:ascii="Times New Roman" w:cs="Times New Roman" w:eastAsia="Times New Roman" w:hAnsi="Times New Roman"/>
          <w:sz w:val="24"/>
          <w:szCs w:val="24"/>
          <w:rtl w:val="0"/>
        </w:rPr>
        <w:t xml:space="preserve"> encenderlo, apagarlo, programar sesiones, ajustar parámetros de uso y, eventualmente, activar o desactivar las funciones de personalización automática. De este modo, la propuesta combina una base fisiológica plausible, un soporte afectivo no invasivo, una lógica de adaptación progresiva al bebé y una experiencia de uso simple para las familias, evitando tanto la pasividad de los dispositivos de monitoreo como la sobrecarga de información que a menudo incrementa la ansiedad parental.</w:t>
      </w:r>
    </w:p>
    <w:p w:rsidR="00000000" w:rsidDel="00000000" w:rsidP="00000000" w:rsidRDefault="00000000" w:rsidRPr="00000000" w14:paraId="00000032">
      <w:pPr>
        <w:pStyle w:val="Heading1"/>
        <w:numPr>
          <w:ilvl w:val="0"/>
          <w:numId w:val="5"/>
        </w:numPr>
        <w:spacing w:line="480" w:lineRule="auto"/>
        <w:ind w:left="720" w:hanging="360"/>
        <w:rPr>
          <w:rFonts w:ascii="Times New Roman" w:cs="Times New Roman" w:eastAsia="Times New Roman" w:hAnsi="Times New Roman"/>
          <w:b w:val="1"/>
          <w:bCs w:val="1"/>
          <w:sz w:val="24"/>
          <w:szCs w:val="24"/>
        </w:rPr>
      </w:pPr>
      <w:bookmarkStart w:colFirst="0" w:colLast="0" w:name="_vgw6t5qkph8p" w:id="3"/>
      <w:bookmarkEnd w:id="3"/>
      <w:r w:rsidDel="00000000" w:rsidR="00000000" w:rsidRPr="00000000">
        <w:rPr>
          <w:rFonts w:ascii="Times New Roman" w:cs="Times New Roman" w:eastAsia="Times New Roman" w:hAnsi="Times New Roman"/>
          <w:b w:val="1"/>
          <w:bCs w:val="1"/>
          <w:sz w:val="24"/>
          <w:szCs w:val="24"/>
          <w:rtl w:val="0"/>
        </w:rPr>
        <w:t xml:space="preserve">Evidencia científica </w:t>
      </w:r>
      <w:r w:rsidDel="00000000" w:rsidR="00000000" w:rsidRPr="00000000">
        <w:rPr>
          <w:rtl w:val="0"/>
        </w:rPr>
      </w:r>
    </w:p>
    <w:p w:rsidR="00000000" w:rsidDel="00000000" w:rsidP="00000000" w:rsidRDefault="00000000" w:rsidRPr="00000000" w14:paraId="00000033">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base científica del proyecto puede entenderse a partir de una premisa central: la relajación inducida por sonido no depende de “poner cualquier audio calmante”, sino de diseñar un estímulo con características acústicas concretas, presentado en condiciones apropiadas y, idealmente, ajustado al usuario. En ese sentido, la evidencia disponible permite construir una justificación progresiva: primero, sobre qué rasgos del sonido favorecen la relajación; luego, sobre cómo esos efectos se manifiestan en bebés y adultos; y, finalmente, sobre cómo los estímulos acústico-</w:t>
      </w:r>
      <w:r w:rsidDel="00000000" w:rsidR="00000000" w:rsidRPr="00000000">
        <w:rPr>
          <w:rFonts w:ascii="Times New Roman" w:cs="Times New Roman" w:eastAsia="Times New Roman" w:hAnsi="Times New Roman"/>
          <w:sz w:val="24"/>
          <w:szCs w:val="24"/>
          <w:rtl w:val="0"/>
        </w:rPr>
        <w:t xml:space="preserve">vibratorios</w:t>
      </w:r>
      <w:r w:rsidDel="00000000" w:rsidR="00000000" w:rsidRPr="00000000">
        <w:rPr>
          <w:rFonts w:ascii="Times New Roman" w:cs="Times New Roman" w:eastAsia="Times New Roman" w:hAnsi="Times New Roman"/>
          <w:sz w:val="24"/>
          <w:szCs w:val="24"/>
          <w:rtl w:val="0"/>
        </w:rPr>
        <w:t xml:space="preserve"> inspirados en cuencos tibetanos pueden producir cambios fisiológicos y cerebrales compatibles con la transición al sueño.</w:t>
      </w:r>
    </w:p>
    <w:p w:rsidR="00000000" w:rsidDel="00000000" w:rsidP="00000000" w:rsidRDefault="00000000" w:rsidRPr="00000000" w14:paraId="00000034">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línea, Scarratt et al. (2025) muestran que la capacidad de un estímulo musical para inducir relajación depende tanto de sus propiedades acústicas como de la relación del oyente con ese estímulo. Su estudio demuestra que la música con rasgos sedativos y percibida como más familiar genera una respuesta de relajación superior a la música excitativa o menos familiar. Además, los resultados sugieren que el agrado subjetivo por el estímulo también influye de manera importante. A nivel neural, los autores observaron que la música familiar activa con mayor fuerza circuitos asociados a memoria, emoción y procesamiento auditivo integrado, mientras que la música no familiar demanda más recursos atencionales. En términos aplicados, esto sugiere que una intervención sonora eficaz debería privilegiar señales acústicas calmadas, repetibles y de baja demanda cognitiva, así como incorporar márgenes de personalización, en lugar de basarse en la idea de una frecuencia única válida para todos.</w:t>
      </w:r>
    </w:p>
    <w:p w:rsidR="00000000" w:rsidDel="00000000" w:rsidP="00000000" w:rsidRDefault="00000000" w:rsidRPr="00000000" w14:paraId="00000035">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bebés, Bainbridge et al. (2020) aportan una evidencia especialmente relevante. Su trabajo demuestra que las canciones de cuna inducen relajación fisiológica incluso cuando son culturalmente desconocidas para el lactante, lo que indica que el efecto calmante no depende únicamente de la familiaridad previa, sino también de rasgos estructurales propios del estímulo. En comparación con canciones no diseñadas para ese fin, las lullabies redujeron con mayor claridad la frecuencia cardíaca y otros indicadores de activación fisiológica. Además, el efecto se mantuvo estable durante el primer año de vida y fue más fuerte cuando las canciones presentaban rasgos claramente dirigidos al bebé, como suavidad melódica, contorno vocal amable y señales auditivas de cercanía. Este hallazgo respalda directamente la idea de diseñar un sistema sonoro que utilice patrones acústicos inspirados en canciones de cuna: tempo lento, baja acentuación, transiciones suaves y una señal sonora que transmita seguridad.</w:t>
      </w:r>
    </w:p>
    <w:p w:rsidR="00000000" w:rsidDel="00000000" w:rsidP="00000000" w:rsidRDefault="00000000" w:rsidRPr="00000000" w14:paraId="00000036">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adultos, Tang et al. (2021) muestran que las intervenciones musicales para mejorar el sueño constituyen una línea de investigación consistente, especialmente cuando se aplican de manera repetida en el tiempo. Su revisión sistemática y metaanálisis concluye que los beneficios sobre la calidad del sueño se vuelven más claros cuando la exposición se mantiene durante varias semanas, lo que sugiere que no basta con una experiencia aislada, sino que el efecto depende también de la repetición y de la construcción de un hábito. Los estudios más exitosos comparten, además, ciertos rasgos de diseño: escucha receptiva, aplicación en el periodo previo al sueño, música de bajo nivel de activación y sesiones relativamente breves pero sostenidas en el tiempo. Los autores plantean mecanismos plausibles que refuerzan la viabilidad del proyecto, como la disminución de la ansiedad, la reducción de la activación fisiológica y una mayor predominancia del sistema nervioso parasimpático, es decir, del sistema asociado a calma y recuperación.</w:t>
      </w:r>
    </w:p>
    <w:p w:rsidR="00000000" w:rsidDel="00000000" w:rsidP="00000000" w:rsidRDefault="00000000" w:rsidRPr="00000000" w14:paraId="00000037">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neonatos, el estudio de Spencer et al. (1990) ofrece una demostración experimental temprana pero muy convincente de que un estímulo acústico continuo puede facilitar de manera rápida la conciliación del sueño. En su ensayo aleatorizado, los recién nacidos expuestos a ruido blanco se durmieron con mucha más frecuencia y rapidez que los del grupo control. Además, el efecto se acompañó de una disminución de la frecuencia cardíaca, lo que sugiere que no se trató solo de una observación conductual, sino de una respuesta fisiológica de asentamiento. Este trabajo es especialmente importante porque muestra que un estímulo acústico continuo, dosificado y físicamente caracterizado puede inducir un cambio rápido y replicable en el estado del bebé. También aporta una hipótesis mecanística útil: el sonido continuo podría actuar enmascarando ruidos del entorno que normalmente generan alerta o microdespertares.</w:t>
      </w:r>
    </w:p>
    <w:p w:rsidR="00000000" w:rsidDel="00000000" w:rsidP="00000000" w:rsidRDefault="00000000" w:rsidRPr="00000000" w14:paraId="00000038">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revisión sistemática de Lin et al. (2025) extiende esta base al caso específico de los cuencos tibetanos. Los autores concluyen que estas intervenciones no solo tienen plausibilidad teórica, sino también una base empírica consistente en reducción de ansiedad y cambios fisiológicos compatibles con relajación. En conjunto, los estudios revisados muestran mejoras en ansiedad, variabilidad de la frecuencia cardíaca, frecuencia cardíaca y actividad cerebral, aunque con distintos niveles de certeza según la variable observada. Particularmente importante para este proyecto es que varios trabajos reportan aumentos en patrones cerebrales asociados a relajación profunda y disminuciones en bandas más relacionadas con alerta y procesamiento activo del entorno. La revisión no prueba de forma directa un efecto sobre el insomnio, pero sí muestra que el cuenco tibetano, entendido como estímulo acústico-vibratorio, modifica de manera medible variables estrechamente vinculadas al estado de pre-sueño.</w:t>
      </w:r>
    </w:p>
    <w:p w:rsidR="00000000" w:rsidDel="00000000" w:rsidP="00000000" w:rsidRDefault="00000000" w:rsidRPr="00000000" w14:paraId="00000039">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Ese punto se refuerza con el ensayo controlado aleatorizado de Rio-Alamos et al. (2023), probablemente una de las evidencias experimentales más sólidas en este campo. En ese estudio, una sola sesión con cuencos tibetanos produjo una respuesta de relajación más marcada que la relajación muscular progresiva y que el grupo control, tanto a nivel subjetivo como fisiológico. Los participantes redujeron su ansiedad autopercibida y mostraron cambios en la variabilidad de la frecuencia cardíaca compatibles con mayor activación parasimpática, es decir, con un organismo más orientado a la calma. A nivel cerebral, también se observaron cambios consistentes con una reducción de la hiperalerta ambiental. El valor de este paper para el proyecto es que demuestra que un estímulo acústico-vibratorio inspirado en cuencos tibetanos puede producir, incluso en una sola sesión, una respuesta convergente en varios sistemas fisiológicos relevantes para la relajación profunda.</w:t>
      </w:r>
    </w:p>
    <w:p w:rsidR="00000000" w:rsidDel="00000000" w:rsidP="00000000" w:rsidRDefault="00000000" w:rsidRPr="00000000" w14:paraId="0000003B">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su parte, Sandler et al. (2017) aportan una dimensión complementaria: la importancia de la vibración corporal además del sonido. En su estudio con pacientes con trastornos psicosomáticos, tanto la estimulación vibroacústica mediante un Body Monochord como la música de relajación redujeron significativamente la actividad electrodermal, un indicador clásico de activación simpática del sistema nervioso autónomo. En términos simples, cuando ese indicador disminuye, se interpreta que el cuerpo está saliendo de un estado de alerta y entrando en un estado de mayor calma fisiológica. Además, ambos tratamientos mejoraron el estado de ánimo subjetivo. Aunque los autores observaron un aumento inesperado de cortisol en algunos casos, interpretaron ese hallazgo como señal de que la relajación profunda puede coexistir con procesos emocionales internos más complejos. Para el proyecto, esta observación no debilita la propuesta; al contrario, refuerza la idea de que un dispositivo vibroacústico bien diseñado puede producir cambios fisiológicos reales, pero debe hacerlo de forma segura, gradual y con una experiencia de usuario cuidadosamente controlada.</w:t>
      </w:r>
    </w:p>
    <w:p w:rsidR="00000000" w:rsidDel="00000000" w:rsidP="00000000" w:rsidRDefault="00000000" w:rsidRPr="00000000" w14:paraId="0000003C">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Kim y Choi (2023) entregan una pieza especialmente valiosa para la lógica de diseño del sistema: la posibilidad de que el sonido de un cuenco tibetano no solo relaje subjetivamente, sino que además sincronice la actividad cerebral del oyente con componentes rítmicos del propio estímulo. Su estudio mostró que, aunque el cuenco posee una frecuencia fundamental alta, el elemento más relevante desde el punto de vista neurofisiológico es un patrón de batido lento dentro del rango theta, es decir, dentro de una banda asociada a meditación, somnolencia y relajación profunda. Junto con ello, observaron aumentos en bandas vinculadas a estados de descanso profundo y disminuciones en bandas más relacionadas con vigilancia y procesamiento cognitivo activo. En términos prácticos, este trabajo sugiere que un dispositivo capaz de reproducir de manera controlada un patrón sonoro análogo al cuenco tibetano podría favorecer una reorganización cerebral coherente con la transición hacia estados de calma profunda y preparación para el sueño.</w:t>
      </w:r>
    </w:p>
    <w:p w:rsidR="00000000" w:rsidDel="00000000" w:rsidP="00000000" w:rsidRDefault="00000000" w:rsidRPr="00000000" w14:paraId="0000003D">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la evidencia converge de manera consistente en varios puntos. Primero, confirma que la eficacia de una intervención sonora depende de rasgos acústicos específicos, de su repetición en el tiempo y de su adecuación al usuario. Segundo, muestra que en bebés ciertos patrones sonoros tipo lullaby reducen activación fisiológica incluso cuando son nuevos. Tercero, demuestra que tanto el sonido continuo como los estímulos inspirados en cuencos tibetanos pueden modificar ansiedad, frecuencia cardíaca, variabilidad cardíaca, actividad electrodermal y oscilaciones cerebrales en la dirección esperada para una respuesta de relajación. Por ello, la hipótesis de un dispositivo que combine sonido cuidadosamente diseñado y vibración corporal suave, orientado a inducir calma y facilitar el sueño, no solo es conceptualmente plausible, sino que se encuentra respaldada por evidencia experimental y clínica suficiente como para justificar su desarrollo tecnológico.</w:t>
      </w:r>
    </w:p>
    <w:p w:rsidR="00000000" w:rsidDel="00000000" w:rsidP="00000000" w:rsidRDefault="00000000" w:rsidRPr="00000000" w14:paraId="0000003E">
      <w:pPr>
        <w:spacing w:before="80" w:line="48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*En el anexo se incluirá un análisis con más detalle de cada paper.</w:t>
      </w:r>
      <w:r w:rsidDel="00000000" w:rsidR="00000000" w:rsidRPr="00000000">
        <w:rPr>
          <w:rtl w:val="0"/>
        </w:rPr>
      </w:r>
    </w:p>
    <w:p w:rsidR="00000000" w:rsidDel="00000000" w:rsidP="00000000" w:rsidRDefault="00000000" w:rsidRPr="00000000" w14:paraId="0000003F">
      <w:pPr>
        <w:pStyle w:val="Heading1"/>
        <w:numPr>
          <w:ilvl w:val="0"/>
          <w:numId w:val="5"/>
        </w:numPr>
        <w:spacing w:line="480" w:lineRule="auto"/>
        <w:ind w:left="720" w:hanging="360"/>
        <w:rPr>
          <w:rFonts w:ascii="Times New Roman" w:cs="Times New Roman" w:eastAsia="Times New Roman" w:hAnsi="Times New Roman"/>
          <w:b w:val="1"/>
          <w:bCs w:val="1"/>
          <w:sz w:val="24"/>
          <w:szCs w:val="24"/>
        </w:rPr>
      </w:pPr>
      <w:bookmarkStart w:colFirst="0" w:colLast="0" w:name="_qqnfj3vizgx3" w:id="4"/>
      <w:bookmarkEnd w:id="4"/>
      <w:r w:rsidDel="00000000" w:rsidR="00000000" w:rsidRPr="00000000">
        <w:rPr>
          <w:rFonts w:ascii="Times New Roman" w:cs="Times New Roman" w:eastAsia="Times New Roman" w:hAnsi="Times New Roman"/>
          <w:b w:val="1"/>
          <w:bCs w:val="1"/>
          <w:sz w:val="24"/>
          <w:szCs w:val="24"/>
          <w:rtl w:val="0"/>
        </w:rPr>
        <w:t xml:space="preserve">Protocolo de salida</w:t>
      </w:r>
    </w:p>
    <w:p w:rsidR="00000000" w:rsidDel="00000000" w:rsidP="00000000" w:rsidRDefault="00000000" w:rsidRPr="00000000" w14:paraId="00000040">
      <w:pPr>
        <w:pStyle w:val="Heading3"/>
        <w:keepNext w:val="0"/>
        <w:keepLines w:val="0"/>
        <w:spacing w:before="280" w:line="480" w:lineRule="auto"/>
        <w:ind w:left="720" w:firstLine="0"/>
        <w:jc w:val="both"/>
        <w:rPr>
          <w:rFonts w:ascii="Times New Roman" w:cs="Times New Roman" w:eastAsia="Times New Roman" w:hAnsi="Times New Roman"/>
          <w:color w:val="000000"/>
          <w:sz w:val="24"/>
          <w:szCs w:val="24"/>
        </w:rPr>
      </w:pPr>
      <w:bookmarkStart w:colFirst="0" w:colLast="0" w:name="_5kiys6ieeoo5" w:id="5"/>
      <w:bookmarkEnd w:id="5"/>
      <w:r w:rsidDel="00000000" w:rsidR="00000000" w:rsidRPr="00000000">
        <w:rPr>
          <w:rFonts w:ascii="Times New Roman" w:cs="Times New Roman" w:eastAsia="Times New Roman" w:hAnsi="Times New Roman"/>
          <w:color w:val="000000"/>
          <w:sz w:val="24"/>
          <w:szCs w:val="24"/>
          <w:rtl w:val="0"/>
        </w:rPr>
        <w:t xml:space="preserve">I . Objetivos Específicos</w:t>
      </w:r>
    </w:p>
    <w:p w:rsidR="00000000" w:rsidDel="00000000" w:rsidP="00000000" w:rsidRDefault="00000000" w:rsidRPr="00000000" w14:paraId="00000041">
      <w:pPr>
        <w:numPr>
          <w:ilvl w:val="2"/>
          <w:numId w:val="5"/>
        </w:numPr>
        <w:spacing w:after="0" w:afterAutospacing="0" w:before="240" w:line="480" w:lineRule="auto"/>
        <w:ind w:left="2160" w:hanging="360"/>
        <w:jc w:val="both"/>
      </w:pPr>
      <w:r w:rsidDel="00000000" w:rsidR="00000000" w:rsidRPr="00000000">
        <w:rPr>
          <w:rFonts w:ascii="Times New Roman" w:cs="Times New Roman" w:eastAsia="Times New Roman" w:hAnsi="Times New Roman"/>
          <w:rtl w:val="0"/>
        </w:rPr>
        <w:t xml:space="preserve">Validar la Propuesta de Valor (Utilidad): Determinar si la frecuencia de 6.68 Hz y el formato de peluche son percibidos como una solución real para el sueño infantil. </w:t>
      </w:r>
    </w:p>
    <w:p w:rsidR="00000000" w:rsidDel="00000000" w:rsidP="00000000" w:rsidRDefault="00000000" w:rsidRPr="00000000" w14:paraId="00000042">
      <w:pPr>
        <w:numPr>
          <w:ilvl w:val="2"/>
          <w:numId w:val="5"/>
        </w:numPr>
        <w:spacing w:after="0" w:afterAutospacing="0" w:before="0" w:beforeAutospacing="0" w:line="480" w:lineRule="auto"/>
        <w:ind w:left="2160" w:hanging="360"/>
        <w:jc w:val="both"/>
      </w:pPr>
      <w:r w:rsidDel="00000000" w:rsidR="00000000" w:rsidRPr="00000000">
        <w:rPr>
          <w:rFonts w:ascii="Times New Roman" w:cs="Times New Roman" w:eastAsia="Times New Roman" w:hAnsi="Times New Roman"/>
          <w:rtl w:val="0"/>
        </w:rPr>
        <w:t xml:space="preserve">Evaluar Diseño y Ergonomía: Identificar preferencias sobre texturas, tamaño y materiales. </w:t>
      </w:r>
    </w:p>
    <w:p w:rsidR="00000000" w:rsidDel="00000000" w:rsidP="00000000" w:rsidRDefault="00000000" w:rsidRPr="00000000" w14:paraId="00000043">
      <w:pPr>
        <w:numPr>
          <w:ilvl w:val="2"/>
          <w:numId w:val="5"/>
        </w:numPr>
        <w:spacing w:after="0" w:afterAutospacing="0" w:before="0" w:beforeAutospacing="0" w:line="480" w:lineRule="auto"/>
        <w:ind w:left="2160" w:hanging="360"/>
        <w:jc w:val="both"/>
      </w:pPr>
      <w:r w:rsidDel="00000000" w:rsidR="00000000" w:rsidRPr="00000000">
        <w:rPr>
          <w:rFonts w:ascii="Times New Roman" w:cs="Times New Roman" w:eastAsia="Times New Roman" w:hAnsi="Times New Roman"/>
          <w:rtl w:val="0"/>
        </w:rPr>
        <w:t xml:space="preserve">Definir Disposición de Pago: Establecer un rango de precio competitivo en el mercado chileno.</w:t>
      </w:r>
    </w:p>
    <w:p w:rsidR="00000000" w:rsidDel="00000000" w:rsidP="00000000" w:rsidRDefault="00000000" w:rsidRPr="00000000" w14:paraId="00000044">
      <w:pPr>
        <w:numPr>
          <w:ilvl w:val="2"/>
          <w:numId w:val="5"/>
        </w:numPr>
        <w:spacing w:after="240" w:before="0" w:beforeAutospacing="0" w:line="480" w:lineRule="auto"/>
        <w:ind w:left="2160" w:hanging="360"/>
        <w:jc w:val="both"/>
      </w:pPr>
      <w:r w:rsidDel="00000000" w:rsidR="00000000" w:rsidRPr="00000000">
        <w:rPr>
          <w:rFonts w:ascii="Times New Roman" w:cs="Times New Roman" w:eastAsia="Times New Roman" w:hAnsi="Times New Roman"/>
          <w:rtl w:val="0"/>
        </w:rPr>
        <w:t xml:space="preserve">Factibilidad del proyecto: Determinar si las características y funcionamiento del proyecto son factibles. </w:t>
      </w:r>
    </w:p>
    <w:p w:rsidR="00000000" w:rsidDel="00000000" w:rsidP="00000000" w:rsidRDefault="00000000" w:rsidRPr="00000000" w14:paraId="00000045">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validar la factibilidad y aceptación de nuestra solución, realizamos entrevistas semiestructuradas dirigidas a padres y cuidadores, centradas en los siguientes ejes estratégicos: </w:t>
      </w:r>
    </w:p>
    <w:p w:rsidR="00000000" w:rsidDel="00000000" w:rsidP="00000000" w:rsidRDefault="00000000" w:rsidRPr="00000000" w14:paraId="00000046">
      <w:pPr>
        <w:numPr>
          <w:ilvl w:val="0"/>
          <w:numId w:val="2"/>
        </w:numPr>
        <w:spacing w:after="0" w:afterAutospacing="0" w:before="24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sensorial y terapéutica: Consultar sobre la percepción de las frecuencias de 6 Hz y su asociación con estados de calma. Consultar sobre que el dispositivo se encuentre en un peluche. Indicador: porcentaje de entrevistados que califica la utilidad del dispositivo como "alta" o "muy alta" para resolver crisis de sueño. </w:t>
      </w:r>
    </w:p>
    <w:p w:rsidR="00000000" w:rsidDel="00000000" w:rsidP="00000000" w:rsidRDefault="00000000" w:rsidRPr="00000000" w14:paraId="00000047">
      <w:pPr>
        <w:numPr>
          <w:ilvl w:val="0"/>
          <w:numId w:val="2"/>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Interacción y usabilidad: Investigar la preferencia de los padres respecto al control del dispositivo, comparando el encendido manual frente a funciones de temporización.</w:t>
      </w:r>
    </w:p>
    <w:p w:rsidR="00000000" w:rsidDel="00000000" w:rsidP="00000000" w:rsidRDefault="00000000" w:rsidRPr="00000000" w14:paraId="00000048">
      <w:pPr>
        <w:numPr>
          <w:ilvl w:val="0"/>
          <w:numId w:val="2"/>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 y materialidad: Levantar inquietudes críticas sobre la manipulación del peluche por parte del infante y la protección de componentes electrónicos.   Indicador: Nivel de aceptación (escala 1-5) de la materialidad y el diseño pasivo sin elementos manipulables por el bebé.</w:t>
      </w:r>
    </w:p>
    <w:p w:rsidR="00000000" w:rsidDel="00000000" w:rsidP="00000000" w:rsidRDefault="00000000" w:rsidRPr="00000000" w14:paraId="00000049">
      <w:pPr>
        <w:numPr>
          <w:ilvl w:val="0"/>
          <w:numId w:val="2"/>
        </w:numPr>
        <w:spacing w:after="24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Estimación de valor: Indagar en la disposición de pago para establecer un rango de precios competitivo en el mercado nacional.  Indicador:  Si pagaron por el producto y recio promedio que los padres declaran estar dispuestos a pagar tras conocer la solución. </w:t>
      </w:r>
    </w:p>
    <w:p w:rsidR="00000000" w:rsidDel="00000000" w:rsidP="00000000" w:rsidRDefault="00000000" w:rsidRPr="00000000" w14:paraId="0000004A">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asegurar la viabilidad del proyecto, realizaremos entrevistas técnicas con profesores que investigan  en el área de música y señales. El propósito es validar:</w:t>
      </w:r>
    </w:p>
    <w:p w:rsidR="00000000" w:rsidDel="00000000" w:rsidP="00000000" w:rsidRDefault="00000000" w:rsidRPr="00000000" w14:paraId="0000004B">
      <w:pPr>
        <w:numPr>
          <w:ilvl w:val="0"/>
          <w:numId w:val="6"/>
        </w:numPr>
        <w:spacing w:after="24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Factibilidad Técnica del Artefacto: Evaluar la factibilidad de desarrollar el dispositivo con las características que planteamos. Indicador: Grado de viabilidad técnica (bajo/medio/alto) reportado. </w:t>
      </w:r>
    </w:p>
    <w:p w:rsidR="00000000" w:rsidDel="00000000" w:rsidP="00000000" w:rsidRDefault="00000000" w:rsidRPr="00000000" w14:paraId="0000004C">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el fin de validar el efecto de la frecuencia de 6.68 Hz. Se llevará a cabo un test de respuesta subjetiva con voluntarios. El procedimiento consiste en:</w:t>
      </w:r>
    </w:p>
    <w:p w:rsidR="00000000" w:rsidDel="00000000" w:rsidP="00000000" w:rsidRDefault="00000000" w:rsidRPr="00000000" w14:paraId="0000004D">
      <w:pPr>
        <w:numPr>
          <w:ilvl w:val="0"/>
          <w:numId w:val="7"/>
        </w:numPr>
        <w:spacing w:after="0" w:afterAutospacing="0" w:before="24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Exposición: Los participantes permanecerán acostados en un ambiente controlado, siendo expuestos a las vibraciones y sonidos del cuenco tibetano durante un periodo de 5 minutos.</w:t>
      </w:r>
    </w:p>
    <w:p w:rsidR="00000000" w:rsidDel="00000000" w:rsidP="00000000" w:rsidRDefault="00000000" w:rsidRPr="00000000" w14:paraId="0000004E">
      <w:pPr>
        <w:numPr>
          <w:ilvl w:val="0"/>
          <w:numId w:val="7"/>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Recolección de Datos Post-Exposición: Al finalizar el tiempo de exposición, se realizarán unas preguntas para capturar la percepción de calma, somnolencia o cambios en el estado de tensión muscular.</w:t>
      </w:r>
    </w:p>
    <w:p w:rsidR="00000000" w:rsidDel="00000000" w:rsidP="00000000" w:rsidRDefault="00000000" w:rsidRPr="00000000" w14:paraId="0000004F">
      <w:pPr>
        <w:numPr>
          <w:ilvl w:val="0"/>
          <w:numId w:val="7"/>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Objetivo de la Prueba: Observar la transición hacia un estado de relajación profunda e identificar si la vibración física es percibida como un estímulo placentero o invasivo.</w:t>
      </w:r>
    </w:p>
    <w:p w:rsidR="00000000" w:rsidDel="00000000" w:rsidP="00000000" w:rsidRDefault="00000000" w:rsidRPr="00000000" w14:paraId="00000050">
      <w:pPr>
        <w:numPr>
          <w:ilvl w:val="0"/>
          <w:numId w:val="7"/>
        </w:numPr>
        <w:spacing w:after="24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 Variación en el nivel de somnolencia o relajación reportado antes y después de la prueba. </w:t>
      </w:r>
    </w:p>
    <w:p w:rsidR="00000000" w:rsidDel="00000000" w:rsidP="00000000" w:rsidRDefault="00000000" w:rsidRPr="00000000" w14:paraId="00000051">
      <w:pPr>
        <w:spacing w:after="240" w:before="24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pStyle w:val="Heading1"/>
        <w:numPr>
          <w:ilvl w:val="0"/>
          <w:numId w:val="5"/>
        </w:numPr>
        <w:spacing w:line="480" w:lineRule="auto"/>
        <w:ind w:left="720" w:hanging="360"/>
        <w:rPr>
          <w:rFonts w:ascii="Times New Roman" w:cs="Times New Roman" w:eastAsia="Times New Roman" w:hAnsi="Times New Roman"/>
          <w:b w:val="1"/>
          <w:bCs w:val="1"/>
          <w:sz w:val="24"/>
          <w:szCs w:val="24"/>
        </w:rPr>
      </w:pPr>
      <w:bookmarkStart w:colFirst="0" w:colLast="0" w:name="_gzh4kmmhkhl" w:id="6"/>
      <w:bookmarkEnd w:id="6"/>
      <w:r w:rsidDel="00000000" w:rsidR="00000000" w:rsidRPr="00000000">
        <w:rPr>
          <w:rFonts w:ascii="Times New Roman" w:cs="Times New Roman" w:eastAsia="Times New Roman" w:hAnsi="Times New Roman"/>
          <w:b w:val="1"/>
          <w:bCs w:val="1"/>
          <w:sz w:val="24"/>
          <w:szCs w:val="24"/>
          <w:rtl w:val="0"/>
        </w:rPr>
        <w:t xml:space="preserve">Acceso a video demo</w:t>
      </w:r>
    </w:p>
    <w:p w:rsidR="00000000" w:rsidDel="00000000" w:rsidP="00000000" w:rsidRDefault="00000000" w:rsidRPr="00000000" w14:paraId="00000053">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adjunta el acceso al video demo:</w:t>
      </w:r>
    </w:p>
    <w:p w:rsidR="00000000" w:rsidDel="00000000" w:rsidP="00000000" w:rsidRDefault="00000000" w:rsidRPr="00000000" w14:paraId="00000054">
      <w:pPr>
        <w:spacing w:before="80" w:line="480" w:lineRule="auto"/>
        <w:ind w:firstLine="720.0000000000001"/>
        <w:jc w:val="both"/>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https://youtu.be/t5JCPPA7XOo</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pStyle w:val="Heading1"/>
        <w:numPr>
          <w:ilvl w:val="0"/>
          <w:numId w:val="5"/>
        </w:numPr>
        <w:spacing w:before="80" w:line="480" w:lineRule="auto"/>
        <w:ind w:left="720" w:hanging="360"/>
        <w:jc w:val="both"/>
        <w:rPr>
          <w:rFonts w:ascii="Times New Roman" w:cs="Times New Roman" w:eastAsia="Times New Roman" w:hAnsi="Times New Roman"/>
          <w:b w:val="1"/>
          <w:bCs w:val="1"/>
          <w:sz w:val="24"/>
          <w:szCs w:val="24"/>
        </w:rPr>
      </w:pPr>
      <w:bookmarkStart w:colFirst="0" w:colLast="0" w:name="_j1qar24lyni2" w:id="7"/>
      <w:bookmarkEnd w:id="7"/>
      <w:r w:rsidDel="00000000" w:rsidR="00000000" w:rsidRPr="00000000">
        <w:rPr>
          <w:rFonts w:ascii="Times New Roman" w:cs="Times New Roman" w:eastAsia="Times New Roman" w:hAnsi="Times New Roman"/>
          <w:b w:val="1"/>
          <w:bCs w:val="1"/>
          <w:sz w:val="24"/>
          <w:szCs w:val="24"/>
          <w:rtl w:val="0"/>
        </w:rPr>
        <w:t xml:space="preserve">Registro de Investigación Primaria:</w:t>
      </w:r>
    </w:p>
    <w:p w:rsidR="00000000" w:rsidDel="00000000" w:rsidP="00000000" w:rsidRDefault="00000000" w:rsidRPr="00000000" w14:paraId="00000056">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detalla el registro de las entrevistas realizadas por el equipo:</w:t>
      </w:r>
    </w:p>
    <w:tbl>
      <w:tblPr>
        <w:tblStyle w:val="Table1"/>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840"/>
        <w:gridCol w:w="990"/>
        <w:gridCol w:w="1020"/>
        <w:gridCol w:w="1110"/>
        <w:gridCol w:w="990"/>
        <w:gridCol w:w="1560"/>
        <w:gridCol w:w="1770"/>
        <w:tblGridChange w:id="0">
          <w:tblGrid>
            <w:gridCol w:w="960"/>
            <w:gridCol w:w="840"/>
            <w:gridCol w:w="990"/>
            <w:gridCol w:w="1020"/>
            <w:gridCol w:w="1110"/>
            <w:gridCol w:w="990"/>
            <w:gridCol w:w="1560"/>
            <w:gridCol w:w="1770"/>
          </w:tblGrid>
        </w:tblGridChange>
      </w:tblGrid>
      <w:tr>
        <w:trPr>
          <w:cantSplit w:val="0"/>
          <w:tblHeader w:val="1"/>
        </w:trPr>
        <w:tc>
          <w:tcPr>
            <w:shd w:fill="d9d9d9" w:val="clear"/>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shd w:fill="d9d9d9" w:val="clear"/>
          </w:tcPr>
          <w:p w:rsidR="00000000" w:rsidDel="00000000" w:rsidP="00000000" w:rsidRDefault="00000000" w:rsidRPr="00000000" w14:paraId="0000005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Nombre completo</w:t>
            </w:r>
          </w:p>
        </w:tc>
        <w:tc>
          <w:tcPr>
            <w:shd w:fill="d9d9d9" w:val="clear"/>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Contacto</w:t>
            </w:r>
          </w:p>
        </w:tc>
        <w:tc>
          <w:tcPr>
            <w:shd w:fill="d9d9d9" w:val="clear"/>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Consentimiento informado</w:t>
            </w:r>
          </w:p>
        </w:tc>
        <w:tc>
          <w:tcPr>
            <w:shd w:fill="d9d9d9" w:val="clear"/>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Perfil del entrevistado</w:t>
            </w:r>
          </w:p>
        </w:tc>
        <w:tc>
          <w:tcPr>
            <w:shd w:fill="d9d9d9" w:val="clear"/>
          </w:tcPr>
          <w:p w:rsidR="00000000" w:rsidDel="00000000" w:rsidP="00000000" w:rsidRDefault="00000000" w:rsidRPr="00000000" w14:paraId="0000005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Tipo de entrevista</w:t>
            </w:r>
          </w:p>
        </w:tc>
        <w:tc>
          <w:tcPr>
            <w:shd w:fill="d9d9d9" w:val="clear"/>
          </w:tcPr>
          <w:p w:rsidR="00000000" w:rsidDel="00000000" w:rsidP="00000000" w:rsidRDefault="00000000" w:rsidRPr="00000000" w14:paraId="0000005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Hipótesis validada</w:t>
            </w:r>
          </w:p>
        </w:tc>
        <w:tc>
          <w:tcPr>
            <w:shd w:fill="d9d9d9" w:val="clear"/>
          </w:tcPr>
          <w:p w:rsidR="00000000" w:rsidDel="00000000" w:rsidP="00000000" w:rsidRDefault="00000000" w:rsidRPr="00000000" w14:paraId="0000005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Aprendizajes</w:t>
            </w:r>
          </w:p>
        </w:tc>
      </w:tr>
      <w:tr>
        <w:trPr>
          <w:cantSplit w:val="0"/>
          <w:tblHeader w:val="0"/>
        </w:trPr>
        <w:tc>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Entrevista 1</w:t>
            </w:r>
          </w:p>
        </w:tc>
        <w:tc>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Elena Rivas</w:t>
            </w:r>
          </w:p>
        </w:tc>
        <w:tc>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Conocido</w:t>
              <w:br w:type="textWrapping"/>
              <w:t xml:space="preserve">+56 9 5454 0820</w:t>
            </w:r>
          </w:p>
          <w:p w:rsidR="00000000" w:rsidDel="00000000" w:rsidP="00000000" w:rsidRDefault="00000000" w:rsidRPr="00000000" w14:paraId="00000062">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 entrega consentimiento</w:t>
              <w:br w:type="textWrapping"/>
            </w:r>
          </w:p>
        </w:tc>
        <w:tc>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Mujer 18 años</w:t>
            </w:r>
          </w:p>
        </w:tc>
        <w:tc>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Presencial</w:t>
            </w:r>
          </w:p>
        </w:tc>
        <w:tc>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El efecto del cuenco en las personas es positivo a la hora de buscar relajación y/o sueño.</w:t>
            </w:r>
          </w:p>
        </w:tc>
        <w:tc>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 entrevistada mostró efectos de relajación y sueño luego de estar expuesta al efecto del cuenco tibetano durante 5 minutos. </w:t>
              <w:br w:type="textWrapping"/>
              <w:t xml:space="preserve">Además, al terminar los 5 minutos mencionó que quería seguir escuchando el cuenco.</w:t>
            </w:r>
          </w:p>
        </w:tc>
      </w:tr>
      <w:tr>
        <w:trPr>
          <w:cantSplit w:val="0"/>
          <w:tblHeader w:val="0"/>
        </w:trPr>
        <w:tc>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Entrevista 2</w:t>
            </w:r>
          </w:p>
        </w:tc>
        <w:tc>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Constanza Olea</w:t>
            </w:r>
          </w:p>
        </w:tc>
        <w:tc>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Conocido.</w:t>
              <w:br w:type="textWrapping"/>
              <w:t xml:space="preserve">Constanza.olea18@gmail.com</w:t>
            </w:r>
          </w:p>
        </w:tc>
        <w:tc>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 entrega consentimiento </w:t>
            </w:r>
          </w:p>
        </w:tc>
        <w:tc>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Mujer 17 años</w:t>
            </w:r>
          </w:p>
        </w:tc>
        <w:tc>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Presencial</w:t>
            </w:r>
          </w:p>
        </w:tc>
        <w:tc>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El efecto del cuenco en las personas es positivo a la hora de buscar relajación y/o sueño.</w:t>
            </w:r>
          </w:p>
          <w:p w:rsidR="00000000" w:rsidDel="00000000" w:rsidP="00000000" w:rsidRDefault="00000000" w:rsidRPr="00000000" w14:paraId="0000006F">
            <w:pPr>
              <w:widowControl w:val="0"/>
              <w:spacing w:line="240" w:lineRule="auto"/>
              <w:rPr>
                <w:rFonts w:ascii="Times New Roman" w:cs="Times New Roman" w:eastAsia="Times New Roman" w:hAnsi="Times New Roman"/>
                <w:sz w:val="16"/>
                <w:szCs w:val="16"/>
              </w:rPr>
            </w:pPr>
            <w:r w:rsidDel="00000000" w:rsidR="00000000" w:rsidRPr="00000000">
              <w:rPr>
                <w:rtl w:val="0"/>
              </w:rPr>
            </w:r>
          </w:p>
        </w:tc>
        <w:tc>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Luego de 5 minutos de estar expuesta a los efectos del cuenco tibetiano, los efectos fueron los siguientes: </w:t>
            </w:r>
          </w:p>
          <w:p w:rsidR="00000000" w:rsidDel="00000000" w:rsidP="00000000" w:rsidRDefault="00000000" w:rsidRPr="00000000" w14:paraId="0000007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Se siente más tranquila, con la mente clara, relajada, “modo zen”, inducción ligera del sueño. </w:t>
            </w:r>
          </w:p>
          <w:p w:rsidR="00000000" w:rsidDel="00000000" w:rsidP="00000000" w:rsidRDefault="00000000" w:rsidRPr="00000000" w14:paraId="0000007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Ella se encontraba con dolor de cabeza, oreja y frío y de todas formas logró relajarse.</w:t>
            </w:r>
          </w:p>
          <w:p w:rsidR="00000000" w:rsidDel="00000000" w:rsidP="00000000" w:rsidRDefault="00000000" w:rsidRPr="00000000" w14:paraId="00000073">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 gustó el sonido y el efecto del cuenco.</w:t>
              <w:br w:type="textWrapping"/>
              <w:t xml:space="preserve">Dice que tuvo una buena meditación, “como hipnotizada por el sonido”</w:t>
            </w:r>
          </w:p>
        </w:tc>
      </w:tr>
      <w:tr>
        <w:trPr>
          <w:cantSplit w:val="0"/>
          <w:tblHeader w:val="0"/>
        </w:trPr>
        <w:tc>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Entrevista 3</w:t>
            </w:r>
          </w:p>
        </w:tc>
        <w:tc>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Francisca Guajardo </w:t>
            </w:r>
          </w:p>
        </w:tc>
        <w:tc>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+56942909893</w:t>
            </w:r>
          </w:p>
          <w:p w:rsidR="00000000" w:rsidDel="00000000" w:rsidP="00000000" w:rsidRDefault="00000000" w:rsidRPr="00000000" w14:paraId="0000007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Conocido</w:t>
            </w:r>
          </w:p>
        </w:tc>
        <w:tc>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 entrega consentimiento</w:t>
            </w:r>
          </w:p>
        </w:tc>
        <w:tc>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Madre de niña de 3 años</w:t>
            </w:r>
          </w:p>
        </w:tc>
        <w:tc>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Llamada</w:t>
            </w:r>
          </w:p>
        </w:tc>
        <w:tc>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Encuentra relajante el sonido del cuenco tibetano</w:t>
            </w:r>
          </w:p>
        </w:tc>
        <w:tc>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 gustaría incluir una función de programación (timer) para que el dispositivo se apague automáticamente después de un tiempo determinado. Enfatizó la importancia de que el peluche tenga un tamaño y una textura "amigables", además de incluir un manual de instrucciones o guía de uso. Mencionó que existen productos similares que imitan los latidos del corazón, aunque la usuaria notó que la sensación de "vibración mecánica" puede ser distinta a la auditiva. Menciona que si el dispositivo funciona pagaría 15.000 pesos.</w:t>
            </w:r>
          </w:p>
        </w:tc>
      </w:tr>
      <w:tr>
        <w:trPr>
          <w:cantSplit w:val="0"/>
          <w:tblHeader w:val="0"/>
        </w:trPr>
        <w:tc>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Entrevista 4</w:t>
            </w:r>
          </w:p>
        </w:tc>
        <w:tc>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Patricio Guajardo </w:t>
            </w:r>
          </w:p>
        </w:tc>
        <w:tc>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pguajardo.barrios@gmail.com</w:t>
            </w:r>
          </w:p>
          <w:p w:rsidR="00000000" w:rsidDel="00000000" w:rsidP="00000000" w:rsidRDefault="00000000" w:rsidRPr="00000000" w14:paraId="0000008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Conocido</w:t>
            </w:r>
          </w:p>
        </w:tc>
        <w:tc>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 entrega consentimiento </w:t>
            </w:r>
          </w:p>
        </w:tc>
        <w:tc>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Padre de niña de 3 años</w:t>
            </w:r>
          </w:p>
        </w:tc>
        <w:tc>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Llamada</w:t>
            </w:r>
          </w:p>
        </w:tc>
        <w:tc>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Encuentra relajante el cuenco tibetano </w:t>
            </w:r>
          </w:p>
        </w:tc>
        <w:tc>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El entrevistado asocia las frecuencias de los cuencos con terapias de Reiki, destacando que transmiten una sensación de calma y relajación profunda. El que el dispositivo se encuentre en un peluche lo considera una opción acertada, ya que los niños suelen dormir con objetos de apego para sentirse acompañados. Se prefiere un sistema manual de encendido y apagado, pero con la opción adicional de ser programable para evitar que los padres tengan que levantarse a apagarlo. Un importante  mencionado es la seguridad de los materiales (que no suelten pelos) y la protección de los componentes eléctricos y botones, especialmente cuando el niño comienza a manipular objetos. Si funciona el producto pagaría hasta 25.000, pero menciona que podrían haber padres que podrían pagar hasta 50.000.</w:t>
            </w:r>
          </w:p>
        </w:tc>
      </w:tr>
      <w:tr>
        <w:trPr>
          <w:cantSplit w:val="0"/>
          <w:tblHeader w:val="0"/>
        </w:trPr>
        <w:tc>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Entrevista 5</w:t>
            </w:r>
          </w:p>
        </w:tc>
        <w:tc>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Rodrigo Cádiz</w:t>
            </w:r>
          </w:p>
        </w:tc>
        <w:tc>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16"/>
                <w:szCs w:val="16"/>
              </w:rPr>
            </w:pPr>
            <w:hyperlink r:id="rId7">
              <w:r w:rsidDel="00000000" w:rsidR="00000000" w:rsidRPr="00000000">
                <w:rPr>
                  <w:rFonts w:ascii="Times New Roman" w:cs="Times New Roman" w:eastAsia="Times New Roman" w:hAnsi="Times New Roman"/>
                  <w:color w:val="1155cc"/>
                  <w:sz w:val="16"/>
                  <w:szCs w:val="16"/>
                  <w:u w:val="single"/>
                  <w:rtl w:val="0"/>
                </w:rPr>
                <w:t xml:space="preserve">rcadiz@uc.cl</w:t>
              </w:r>
            </w:hyperlink>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8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Conocido</w:t>
            </w:r>
          </w:p>
        </w:tc>
        <w:tc>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 entrega consentimiento</w:t>
            </w:r>
          </w:p>
        </w:tc>
        <w:tc>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Profesor de ing eléctrica UC con amplio conocimiento en sistemas de sonido</w:t>
            </w:r>
          </w:p>
        </w:tc>
        <w:tc>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Entrevista presencial. </w:t>
            </w:r>
          </w:p>
        </w:tc>
        <w:tc>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No debería haber problema para la construcción del artefacto ni desventajas por optar usar un diseño digital en vez de análogo.</w:t>
            </w:r>
          </w:p>
        </w:tc>
        <w:tc>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Sobre viabilidad del proyecto: </w:t>
            </w:r>
          </w:p>
          <w:p w:rsidR="00000000" w:rsidDel="00000000" w:rsidP="00000000" w:rsidRDefault="00000000" w:rsidRPr="00000000" w14:paraId="00000090">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 xml:space="preserve">El profe se mostró escéptico a que usar una frecuencia particular tenga un efecto positivo sobre el sueño de los infantes. Dice que es mucho chamuyo, que no creamos todo lo que vemos en las redes.  </w:t>
            </w:r>
          </w:p>
          <w:p w:rsidR="00000000" w:rsidDel="00000000" w:rsidP="00000000" w:rsidRDefault="00000000" w:rsidRPr="00000000" w14:paraId="00000092">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 xml:space="preserve">El profesor dice que se han realizado (él lo ha hecho también) estudios sobre los efectos del ruido blanco en la mejora de pacientes en la UCI, pero nada como lo que nosotros estamos buscando realizar.  </w:t>
            </w:r>
          </w:p>
          <w:p w:rsidR="00000000" w:rsidDel="00000000" w:rsidP="00000000" w:rsidRDefault="00000000" w:rsidRPr="00000000" w14:paraId="00000094">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 xml:space="preserve">El profe hace énfasis en que es importante tener bases científicas para lo que hacemos.  </w:t>
            </w:r>
          </w:p>
          <w:p w:rsidR="00000000" w:rsidDel="00000000" w:rsidP="00000000" w:rsidRDefault="00000000" w:rsidRPr="00000000" w14:paraId="00000096">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 xml:space="preserve">Incluso si llegamos a encontrar fuentes que apoyen nuestro proyecto, es sumamente importante que nosotros probemos el prototipo, a ver si funciona realmente con bebés para el fin que a nosotros nos interesa.  </w:t>
            </w:r>
          </w:p>
          <w:p w:rsidR="00000000" w:rsidDel="00000000" w:rsidP="00000000" w:rsidRDefault="00000000" w:rsidRPr="00000000" w14:paraId="00000098">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9A">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Sobre aspectos técnicos: </w:t>
            </w:r>
          </w:p>
          <w:p w:rsidR="00000000" w:rsidDel="00000000" w:rsidP="00000000" w:rsidRDefault="00000000" w:rsidRPr="00000000" w14:paraId="0000009C">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 xml:space="preserve">El profe dice que, en principio, no debería haber una diferencia significativa entre las frecuencias que obtengamos entre usar directamente el cuenco tibetano a usar un parlante. Sin embargo, nos recalca que, para mantener un buen sonido, es fundamental tener elementos de buena calidad. En particular, que el parlante sea de dimensiones apropiadas y que cuente con una caja de audio bien dimensionada. </w:t>
            </w:r>
          </w:p>
          <w:p w:rsidR="00000000" w:rsidDel="00000000" w:rsidP="00000000" w:rsidRDefault="00000000" w:rsidRPr="00000000" w14:paraId="0000009E">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9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 xml:space="preserve">El profe menciona que no se le ocurre ninguna razón por la cual el soporte donde pongamos el parlante sea demasiado relevante. Cualquier vibración causada por un agarre “suelto” va a ser insignificante comparado con el efecto que puede tener la calidad del parlante. Obviamente, dentro de ciertos parámetros (ej: que el parlante no esté boca abajo contra la cama). </w:t>
            </w:r>
          </w:p>
          <w:p w:rsidR="00000000" w:rsidDel="00000000" w:rsidP="00000000" w:rsidRDefault="00000000" w:rsidRPr="00000000" w14:paraId="000000A0">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A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ab/>
              <w:t xml:space="preserve">El profesor dice que, para realizar el sonido, deberíamos usar el sonido real de un cuenco tibetano, no tratar de “simularlo” sintéticamente. </w:t>
            </w:r>
          </w:p>
          <w:p w:rsidR="00000000" w:rsidDel="00000000" w:rsidP="00000000" w:rsidRDefault="00000000" w:rsidRPr="00000000" w14:paraId="000000A2">
            <w:pPr>
              <w:widowControl w:val="0"/>
              <w:spacing w:line="240" w:lineRule="auto"/>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Entrevista 6</w:t>
            </w:r>
          </w:p>
        </w:tc>
        <w:tc>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Lucia Urrutia</w:t>
            </w:r>
          </w:p>
        </w:tc>
        <w:tc>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+56996790949.</w:t>
            </w:r>
          </w:p>
          <w:p w:rsidR="00000000" w:rsidDel="00000000" w:rsidP="00000000" w:rsidRDefault="00000000" w:rsidRPr="00000000" w14:paraId="000000A6">
            <w:pPr>
              <w:widowControl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A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Conocido</w:t>
            </w:r>
          </w:p>
        </w:tc>
        <w:tc>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 entrega consentimiento</w:t>
            </w:r>
          </w:p>
        </w:tc>
        <w:tc>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Madre de hija pequeña</w:t>
            </w:r>
          </w:p>
        </w:tc>
        <w:tc>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Llamada</w:t>
            </w:r>
          </w:p>
        </w:tc>
        <w:tc>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 solución le parece interesante, aunque el precio puede ser un potencial problema.</w:t>
            </w:r>
          </w:p>
        </w:tc>
        <w:tc>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El concepto le pareció sumamente interesante, diciendo que las horas de sueño son un tema super complejo, sobre todo durante los primeros meses. Le complica un poco el creer realmente que la idea funcione, no estando 100% segura de que confiaría en un producto comercial del estilo si lo viese en una tienda. También, dice que no estaría dispuesta a pagar grandes sumas de dinero justamente por esta incertidumbre. </w:t>
            </w:r>
          </w:p>
        </w:tc>
      </w:tr>
      <w:tr>
        <w:trPr>
          <w:cantSplit w:val="0"/>
          <w:tblHeader w:val="0"/>
        </w:trPr>
        <w:tc>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Entrevista 7 </w:t>
            </w:r>
          </w:p>
        </w:tc>
        <w:tc>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Patricio de la Cuadra</w:t>
            </w:r>
          </w:p>
        </w:tc>
        <w:tc>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16"/>
                <w:szCs w:val="16"/>
              </w:rPr>
            </w:pPr>
            <w:hyperlink r:id="rId8">
              <w:r w:rsidDel="00000000" w:rsidR="00000000" w:rsidRPr="00000000">
                <w:rPr>
                  <w:rFonts w:ascii="Times New Roman" w:cs="Times New Roman" w:eastAsia="Times New Roman" w:hAnsi="Times New Roman"/>
                  <w:color w:val="1155cc"/>
                  <w:sz w:val="16"/>
                  <w:szCs w:val="16"/>
                  <w:u w:val="single"/>
                  <w:rtl w:val="0"/>
                </w:rPr>
                <w:t xml:space="preserve">pcuadra@uc.cl</w:t>
              </w:r>
            </w:hyperlink>
            <w:r w:rsidDel="00000000" w:rsidR="00000000" w:rsidRPr="00000000">
              <w:rPr>
                <w:rFonts w:ascii="Times New Roman" w:cs="Times New Roman" w:eastAsia="Times New Roman" w:hAnsi="Times New Roman"/>
                <w:sz w:val="16"/>
                <w:szCs w:val="16"/>
                <w:rtl w:val="0"/>
              </w:rPr>
              <w:t xml:space="preserve">.</w:t>
            </w:r>
          </w:p>
          <w:p w:rsidR="00000000" w:rsidDel="00000000" w:rsidP="00000000" w:rsidRDefault="00000000" w:rsidRPr="00000000" w14:paraId="000000B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Conocido</w:t>
            </w:r>
          </w:p>
        </w:tc>
        <w:tc>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Consentimiento entregado.</w:t>
            </w:r>
          </w:p>
        </w:tc>
        <w:tc>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Ingeniero Civil eléctrico, el cual es docente de la facultad. Se especializa en análisis y síntesis de señales musicales.</w:t>
            </w:r>
          </w:p>
        </w:tc>
        <w:tc>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 entrevista se llevó a cabo de forma presencial y grabada en audio.</w:t>
            </w:r>
          </w:p>
        </w:tc>
        <w:tc>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 comprueba que el producto que  se desea obtener es completamente viable y se estima un bajo costo de producción.</w:t>
            </w:r>
          </w:p>
        </w:tc>
        <w:tc>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El profesor entrevistado expresa escepticismo sobre la estimulación auditiva directa a 6.6 Hz, ya que el oído humano no registra frecuencias por debajo de los 20 Hz. Sin embargo, sugiere que se podría modular una señal audible (por ejemplo, a 200 Hz) con una oscilación de amplitud de 6.6 Hz, lo que el cerebro podría detectar. También propone la posibilidad de estimular el cerebro a través de la visión, con una luz que oscile a la frecuencia deseada. </w:t>
            </w:r>
          </w:p>
          <w:p w:rsidR="00000000" w:rsidDel="00000000" w:rsidP="00000000" w:rsidRDefault="00000000" w:rsidRPr="00000000" w14:paraId="000000B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 cuanto a la implementación técnica, el profesor considera que el desafío no es complicado, especialmente si se utilizan corrientes débiles y voltajes bajos. </w:t>
            </w:r>
          </w:p>
        </w:tc>
      </w:tr>
      <w:tr>
        <w:trPr>
          <w:cantSplit w:val="0"/>
          <w:tblHeader w:val="0"/>
        </w:trPr>
        <w:tc>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Entrevista 8</w:t>
            </w:r>
          </w:p>
        </w:tc>
        <w:tc>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Macarena Apablaza</w:t>
            </w:r>
          </w:p>
        </w:tc>
        <w:tc>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+56971390779.</w:t>
            </w:r>
          </w:p>
          <w:p w:rsidR="00000000" w:rsidDel="00000000" w:rsidP="00000000" w:rsidRDefault="00000000" w:rsidRPr="00000000" w14:paraId="000000B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Conocido</w:t>
            </w:r>
          </w:p>
        </w:tc>
        <w:tc>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Si se entrega consentimiento informado</w:t>
            </w:r>
          </w:p>
        </w:tc>
        <w:tc>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Madre de 2 hijos, de los cuales uno tiene dificultades cognitivas.</w:t>
            </w:r>
          </w:p>
        </w:tc>
        <w:tc>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Videollamada.</w:t>
            </w:r>
          </w:p>
        </w:tc>
        <w:tc>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Considera una propuesta interesante y de interés, validado hipótesis y supuestos planteados. Así también plantea que el precio que se dispone a pagar es un poco mayor al de otros peluches.</w:t>
            </w:r>
          </w:p>
        </w:tc>
        <w:tc>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Maca, al ser consultada sobre el producto, muestra interés y aceptación, especialmente por la vibración, que asocia con el contacto humano y la sensación, considerándola un "gran valor" para generar apego y sincronía. Sin embargo, objeta el uso de un peluche debido a problemas de higiene (ácaros), sugiriendo en su lugar una figura de tela suave, de origen natural y fácil de limpiar. Respecto a la funcionalidad, prefiere un acompañamiento gradual del sueño en lugar de un funcionamiento continuo toda la noche o activado por horario, para evitar la dependencia. Maca asocia el producto con el bienestar y el apego, ubicándolo en tiendas especializadas en maternidad. Expresa confianza en la tecnología si se basa en ondas mecánicas o acústicas (sonido y vibración), pero desconfianza si involucra ondas electromagnéticas (como Wi-Fi o microondas). Estaría dispuesta a pagar entre 30.000 y 50.000 pesos chilenos por el producto. </w:t>
            </w:r>
          </w:p>
        </w:tc>
      </w:tr>
      <w:tr>
        <w:trPr>
          <w:cantSplit w:val="0"/>
          <w:tblHeader w:val="0"/>
        </w:trPr>
        <w:tc>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Entrevista 9</w:t>
            </w:r>
          </w:p>
        </w:tc>
        <w:tc>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Valentina Papic</w:t>
            </w:r>
          </w:p>
        </w:tc>
        <w:tc>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valentina.papic@startupchile.org, contacto obtenido a través de referidos.</w:t>
            </w:r>
          </w:p>
        </w:tc>
        <w:tc>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Consentimiento entregado.</w:t>
            </w:r>
          </w:p>
        </w:tc>
        <w:tc>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Madre que presenta problemática.</w:t>
            </w:r>
          </w:p>
        </w:tc>
        <w:tc>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Videollamada.</w:t>
            </w:r>
          </w:p>
        </w:tc>
        <w:tc>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Sí, se validaron las hipótesis y supuestos desarrollados.</w:t>
            </w:r>
          </w:p>
        </w:tc>
        <w:tc>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La usuaria registra un historial de fracaso con soluciones genéricas del mercado. La privación del sueño es severa, con episodios de vigilia del lactante de cinco horas seguidas. El descanso materno se ha visto reducido a cifras inferiores a tres horas diarias. Se reporta una experiencia positiva reciente con el servicio de un coach de sueño.Demanda de un manual de uso con fundamentación científica sobre el impacto de la solución. Preferencia por un formato de instrucción basado en tutoriales, citando como referente a Neko Slings. Interés en que la utilidad del dispositivo se extienda como herramienta de calma para los padres.Disposición de pago proyectada hasta los 150.000 pesos chilenos. El valor percibido está sujeto a la validación técnica y la eficacia comprobada en el corto plazo.</w:t>
            </w:r>
          </w:p>
        </w:tc>
      </w:tr>
      <w:tr>
        <w:trPr>
          <w:cantSplit w:val="0"/>
          <w:tblHeader w:val="0"/>
        </w:trPr>
        <w:tc>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Entrevista 10</w:t>
            </w:r>
          </w:p>
        </w:tc>
        <w:tc>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Luis Sebastian Farías</w:t>
            </w:r>
          </w:p>
        </w:tc>
        <w:tc>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+56997066775</w:t>
            </w:r>
          </w:p>
          <w:p w:rsidR="00000000" w:rsidDel="00000000" w:rsidP="00000000" w:rsidRDefault="00000000" w:rsidRPr="00000000" w14:paraId="000000C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contacto obtenido a través de referidos</w:t>
            </w:r>
          </w:p>
        </w:tc>
        <w:tc>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Consentimiento entregado.</w:t>
            </w:r>
          </w:p>
        </w:tc>
        <w:tc>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Padre que presenta problemática.</w:t>
            </w:r>
          </w:p>
        </w:tc>
        <w:tc>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Videollamada.</w:t>
            </w:r>
          </w:p>
        </w:tc>
        <w:tc>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Sí, se validaron las hipótesis y supuestos desarrollados.</w:t>
            </w:r>
          </w:p>
        </w:tc>
        <w:tc>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Incidentes de microsueños durante la conducción y en reuniones laborales. Dependencia creciente de cafeína y energizantes por agotamiento crónico. Degradación de la seguridad personal y rendimiento profesional.Despertares a las 03:00 con ausencia de somnolencia, especialmente ante enfermedades.Ineficacia de productos infantiles estándar: el diseño con botones y texturas fomenta el juego y la destrucción física del aparato.Fracaso del ruido blanco convencional; preferencia actual por sonidos de instrumentos de viento vía Alexa/YouTube.</w:t>
            </w:r>
          </w:p>
          <w:p w:rsidR="00000000" w:rsidDel="00000000" w:rsidP="00000000" w:rsidRDefault="00000000" w:rsidRPr="00000000" w14:paraId="000000D1">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Diseño pasivo: Sin botones ni elementos que la menor pueda manipular o usar como juguete.Presupuesto máximo de 50.000 pesos.</w:t>
            </w:r>
          </w:p>
        </w:tc>
      </w:tr>
    </w:tbl>
    <w:p w:rsidR="00000000" w:rsidDel="00000000" w:rsidP="00000000" w:rsidRDefault="00000000" w:rsidRPr="00000000" w14:paraId="000000D2">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Figura 2.5. Registro de entrevistas. Elaboración propia.</w:t>
      </w:r>
    </w:p>
    <w:p w:rsidR="00000000" w:rsidDel="00000000" w:rsidP="00000000" w:rsidRDefault="00000000" w:rsidRPr="00000000" w14:paraId="000000D3">
      <w:pPr>
        <w:pStyle w:val="Heading1"/>
        <w:numPr>
          <w:ilvl w:val="0"/>
          <w:numId w:val="5"/>
        </w:numPr>
        <w:spacing w:before="80" w:line="480" w:lineRule="auto"/>
        <w:ind w:left="720" w:hanging="360"/>
        <w:jc w:val="both"/>
        <w:rPr>
          <w:rFonts w:ascii="Times New Roman" w:cs="Times New Roman" w:eastAsia="Times New Roman" w:hAnsi="Times New Roman"/>
          <w:b w:val="1"/>
          <w:bCs w:val="1"/>
          <w:sz w:val="24"/>
          <w:szCs w:val="24"/>
        </w:rPr>
      </w:pPr>
      <w:bookmarkStart w:colFirst="0" w:colLast="0" w:name="_fl08h5mwavo2" w:id="8"/>
      <w:bookmarkEnd w:id="8"/>
      <w:r w:rsidDel="00000000" w:rsidR="00000000" w:rsidRPr="00000000">
        <w:rPr>
          <w:rFonts w:ascii="Times New Roman" w:cs="Times New Roman" w:eastAsia="Times New Roman" w:hAnsi="Times New Roman"/>
          <w:b w:val="1"/>
          <w:bCs w:val="1"/>
          <w:sz w:val="24"/>
          <w:szCs w:val="24"/>
          <w:rtl w:val="0"/>
        </w:rPr>
        <w:t xml:space="preserve">Plan con pasos a seguir para construir un producto mínimo viable</w:t>
      </w:r>
    </w:p>
    <w:p w:rsidR="00000000" w:rsidDel="00000000" w:rsidP="00000000" w:rsidRDefault="00000000" w:rsidRPr="00000000" w14:paraId="000000D4">
      <w:pPr>
        <w:spacing w:before="8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continuar con el avance de nuestro proyecto, el siguiente paso sería crear un MVP o producto mínimo viable. Para esto, nos enfocaremos en construir un producto centrado en la viabilidad y factibilidad, centrándonos en un producto el cual cumpla con todas las competencias técnicas necesarias para que este funcione de buena manera. El aspecto de deseabilidad, enfocado en todo lo que es terminaciones estéticas, materiales finales y packaging, quedará postergado a etapas posteriores, una vez comprobada la utilidad real del dispositivo para los padres y bebés.</w:t>
      </w:r>
    </w:p>
    <w:p w:rsidR="00000000" w:rsidDel="00000000" w:rsidP="00000000" w:rsidRDefault="00000000" w:rsidRPr="00000000" w14:paraId="000000D5">
      <w:pPr>
        <w:spacing w:before="8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aspectos clave que deberá tener el MVP para ser funcional serán 3 elementos fundamentales:</w:t>
      </w:r>
    </w:p>
    <w:p w:rsidR="00000000" w:rsidDel="00000000" w:rsidP="00000000" w:rsidRDefault="00000000" w:rsidRPr="00000000" w14:paraId="000000D6">
      <w:pPr>
        <w:numPr>
          <w:ilvl w:val="0"/>
          <w:numId w:val="4"/>
        </w:numPr>
        <w:spacing w:after="0" w:afterAutospacing="0" w:before="8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caja de resonancia</w:t>
      </w:r>
    </w:p>
    <w:p w:rsidR="00000000" w:rsidDel="00000000" w:rsidP="00000000" w:rsidRDefault="00000000" w:rsidRPr="00000000" w14:paraId="000000D7">
      <w:pPr>
        <w:numPr>
          <w:ilvl w:val="0"/>
          <w:numId w:val="4"/>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Parlante de alta fidelidad</w:t>
      </w:r>
    </w:p>
    <w:p w:rsidR="00000000" w:rsidDel="00000000" w:rsidP="00000000" w:rsidRDefault="00000000" w:rsidRPr="00000000" w14:paraId="000000D8">
      <w:pPr>
        <w:numPr>
          <w:ilvl w:val="0"/>
          <w:numId w:val="4"/>
        </w:numPr>
        <w:spacing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 de vibración</w:t>
      </w:r>
    </w:p>
    <w:p w:rsidR="00000000" w:rsidDel="00000000" w:rsidP="00000000" w:rsidRDefault="00000000" w:rsidRPr="00000000" w14:paraId="000000D9">
      <w:pPr>
        <w:spacing w:before="8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Teniendo esto en cuenta, pasos a seguir para la elaboración del MVP son los siguientes:</w:t>
      </w:r>
    </w:p>
    <w:p w:rsidR="00000000" w:rsidDel="00000000" w:rsidP="00000000" w:rsidRDefault="00000000" w:rsidRPr="00000000" w14:paraId="000000DA">
      <w:pPr>
        <w:numPr>
          <w:ilvl w:val="0"/>
          <w:numId w:val="3"/>
        </w:numPr>
        <w:spacing w:after="0" w:afterAutospacing="0" w:before="8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requisitos técnicos: Establecer las especificaciones mínimas que debe cumplir el dispositivo, como el rango de frecuencia a reproducir, la intensidad del volúmen, dimensiones y características generales.</w:t>
      </w:r>
    </w:p>
    <w:p w:rsidR="00000000" w:rsidDel="00000000" w:rsidP="00000000" w:rsidRDefault="00000000" w:rsidRPr="00000000" w14:paraId="000000DB">
      <w:pPr>
        <w:numPr>
          <w:ilvl w:val="0"/>
          <w:numId w:val="3"/>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Selección y adquisición de componentes necesarios: Una vez definidos los requisitos de fabricación, se deberá elegir los componentes y materiales necesarios para la elaboración que deberán ser adquiridos.</w:t>
      </w:r>
    </w:p>
    <w:p w:rsidR="00000000" w:rsidDel="00000000" w:rsidP="00000000" w:rsidRDefault="00000000" w:rsidRPr="00000000" w14:paraId="000000DC">
      <w:pPr>
        <w:numPr>
          <w:ilvl w:val="0"/>
          <w:numId w:val="3"/>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Construcción de la caja de resonancia: La caja de resonancia es la estructura base que ocupará la mayor parte del tamaño del dispositivo. Se debe diseñar y construir teniendo en cuenta todos los componentes necesarios para esta deberá tener unidos, para poder asegurar una buena propagación acústica.</w:t>
      </w:r>
    </w:p>
    <w:p w:rsidR="00000000" w:rsidDel="00000000" w:rsidP="00000000" w:rsidRDefault="00000000" w:rsidRPr="00000000" w14:paraId="000000DD">
      <w:pPr>
        <w:numPr>
          <w:ilvl w:val="0"/>
          <w:numId w:val="3"/>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parlante, caja y elemento de vibración: Ensamblar todos los componentes y conectarlos entre sí, en conjunto de algún controlador que administre la lógica interna del dispositivo.</w:t>
      </w:r>
    </w:p>
    <w:p w:rsidR="00000000" w:rsidDel="00000000" w:rsidP="00000000" w:rsidRDefault="00000000" w:rsidRPr="00000000" w14:paraId="000000DE">
      <w:pPr>
        <w:numPr>
          <w:ilvl w:val="0"/>
          <w:numId w:val="3"/>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técnicas de validación: Verificar que el sistema reproduzca fielmente el sonido que se busca replicar, y que las vibraciones no generen un problema con el sonido. En esta etapa se probaría el dispositivo con los sujetos de prueba. </w:t>
      </w:r>
    </w:p>
    <w:p w:rsidR="00000000" w:rsidDel="00000000" w:rsidP="00000000" w:rsidRDefault="00000000" w:rsidRPr="00000000" w14:paraId="000000DF">
      <w:pPr>
        <w:numPr>
          <w:ilvl w:val="0"/>
          <w:numId w:val="3"/>
        </w:numPr>
        <w:spacing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Ajustes iterativos: En base a lo encontrado en las pruebas de la sección anterior, se podría iterar en el diseño para lidiar con los posibles problemas que surjan a medida que vayamos probando el prototipo.</w:t>
      </w:r>
    </w:p>
    <w:p w:rsidR="00000000" w:rsidDel="00000000" w:rsidP="00000000" w:rsidRDefault="00000000" w:rsidRPr="00000000" w14:paraId="000000E0">
      <w:pPr>
        <w:spacing w:before="80" w:line="480" w:lineRule="auto"/>
        <w:ind w:left="720" w:firstLine="0"/>
        <w:jc w:val="both"/>
        <w:rPr/>
      </w:pPr>
      <w:r w:rsidDel="00000000" w:rsidR="00000000" w:rsidRPr="00000000">
        <w:rPr>
          <w:rFonts w:ascii="Times New Roman" w:cs="Times New Roman" w:eastAsia="Times New Roman" w:hAnsi="Times New Roman"/>
          <w:sz w:val="24"/>
          <w:szCs w:val="24"/>
          <w:rtl w:val="0"/>
        </w:rPr>
        <w:t xml:space="preserve">De esta forma, lograremos crear un primero MVP funcional el cual permitirá validar técnicamente la propuesta de </w:t>
      </w:r>
      <w:r w:rsidDel="00000000" w:rsidR="00000000" w:rsidRPr="00000000">
        <w:rPr>
          <w:rtl w:val="0"/>
        </w:rPr>
        <w:t xml:space="preserve">valor antes de avanzar a etapas centradas en la experiencia del usuario y el diseño final.</w:t>
      </w:r>
    </w:p>
    <w:p w:rsidR="00000000" w:rsidDel="00000000" w:rsidP="00000000" w:rsidRDefault="00000000" w:rsidRPr="00000000" w14:paraId="000000E1">
      <w:pPr>
        <w:pStyle w:val="Heading1"/>
        <w:numPr>
          <w:ilvl w:val="0"/>
          <w:numId w:val="5"/>
        </w:numPr>
        <w:spacing w:before="80" w:line="480" w:lineRule="auto"/>
        <w:ind w:left="720" w:hanging="360"/>
        <w:jc w:val="both"/>
        <w:rPr>
          <w:rFonts w:ascii="Times New Roman" w:cs="Times New Roman" w:eastAsia="Times New Roman" w:hAnsi="Times New Roman"/>
          <w:b w:val="1"/>
          <w:bCs w:val="1"/>
          <w:sz w:val="24"/>
          <w:szCs w:val="24"/>
        </w:rPr>
      </w:pPr>
      <w:bookmarkStart w:colFirst="0" w:colLast="0" w:name="_av5p4ymad8j4" w:id="9"/>
      <w:bookmarkEnd w:id="9"/>
      <w:r w:rsidDel="00000000" w:rsidR="00000000" w:rsidRPr="00000000">
        <w:rPr>
          <w:rFonts w:ascii="Times New Roman" w:cs="Times New Roman" w:eastAsia="Times New Roman" w:hAnsi="Times New Roman"/>
          <w:b w:val="1"/>
          <w:bCs w:val="1"/>
          <w:sz w:val="24"/>
          <w:szCs w:val="24"/>
          <w:rtl w:val="0"/>
        </w:rPr>
        <w:t xml:space="preserve">Contribuciones de cada integrante del equipo</w:t>
      </w:r>
      <w:r w:rsidDel="00000000" w:rsidR="00000000" w:rsidRPr="00000000">
        <w:rPr>
          <w:rtl w:val="0"/>
        </w:rPr>
      </w:r>
    </w:p>
    <w:p w:rsidR="00000000" w:rsidDel="00000000" w:rsidP="00000000" w:rsidRDefault="00000000" w:rsidRPr="00000000" w14:paraId="000000E2">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detalla las contribuciones de los integrantes del equipo:</w:t>
      </w:r>
    </w:p>
    <w:tbl>
      <w:tblPr>
        <w:tblStyle w:val="Table2"/>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7140"/>
        <w:tblGridChange w:id="0">
          <w:tblGrid>
            <w:gridCol w:w="2370"/>
            <w:gridCol w:w="7140"/>
          </w:tblGrid>
        </w:tblGridChange>
      </w:tblGrid>
      <w:tr>
        <w:trPr>
          <w:cantSplit w:val="0"/>
          <w:tblHeader w:val="1"/>
        </w:trPr>
        <w:tc>
          <w:tcPr>
            <w:shd w:fill="d9d9d9" w:val="clear"/>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Integrante</w:t>
            </w:r>
          </w:p>
        </w:tc>
        <w:tc>
          <w:tcPr>
            <w:shd w:fill="d9d9d9" w:val="clear"/>
          </w:tcPr>
          <w:p w:rsidR="00000000" w:rsidDel="00000000" w:rsidP="00000000" w:rsidRDefault="00000000" w:rsidRPr="00000000" w14:paraId="000000E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Contribución</w:t>
            </w:r>
          </w:p>
        </w:tc>
      </w:tr>
      <w:tr>
        <w:trPr>
          <w:cantSplit w:val="0"/>
          <w:tblHeader w:val="0"/>
        </w:trPr>
        <w:tc>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Franco Nicolai Corvalán Mansourova</w:t>
            </w:r>
          </w:p>
        </w:tc>
        <w:tc>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w:t>
            </w:r>
            <w:r w:rsidDel="00000000" w:rsidR="00000000" w:rsidRPr="00000000">
              <w:rPr>
                <w:rFonts w:ascii="Times New Roman" w:cs="Times New Roman" w:eastAsia="Times New Roman" w:hAnsi="Times New Roman"/>
                <w:sz w:val="16"/>
                <w:szCs w:val="16"/>
                <w:rtl w:val="0"/>
              </w:rPr>
              <w:t xml:space="preserve">esarrolló la presentación y las diapositivas.</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16"/>
                <w:szCs w:val="16"/>
                <w:rtl w:val="0"/>
              </w:rPr>
              <w:t xml:space="preserve">Además, trabajó en la creación del prototipo en conjunto con Ian.</w:t>
            </w:r>
            <w:r w:rsidDel="00000000" w:rsidR="00000000" w:rsidRPr="00000000">
              <w:rPr>
                <w:rtl w:val="0"/>
              </w:rPr>
            </w:r>
          </w:p>
        </w:tc>
      </w:tr>
      <w:tr>
        <w:trPr>
          <w:cantSplit w:val="0"/>
          <w:tblHeader w:val="0"/>
        </w:trPr>
        <w:tc>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Paulo Gabriel Oses Darrigrande.</w:t>
            </w:r>
          </w:p>
        </w:tc>
        <w:tc>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Revisión y escritura del informe, investigación bibliográfica para las evidencias científicas.</w:t>
            </w:r>
          </w:p>
        </w:tc>
      </w:tr>
      <w:tr>
        <w:trPr>
          <w:cantSplit w:val="0"/>
          <w:tblHeader w:val="0"/>
        </w:trPr>
        <w:tc>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Catalina Rivas Barraza</w:t>
            </w:r>
          </w:p>
        </w:tc>
        <w:tc>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Protocolo de salida, solución y presentación</w:t>
            </w:r>
          </w:p>
        </w:tc>
      </w:tr>
      <w:tr>
        <w:trPr>
          <w:cantSplit w:val="0"/>
          <w:tblHeader w:val="0"/>
        </w:trPr>
        <w:tc>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Vicente Olea Concha</w:t>
            </w:r>
          </w:p>
        </w:tc>
        <w:tc>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Redacta una parte de la descripción y justificación de las iteraciones de la solución, evidencia científica y apoya en la presentación.</w:t>
            </w:r>
          </w:p>
        </w:tc>
      </w:tr>
      <w:tr>
        <w:trPr>
          <w:cantSplit w:val="0"/>
          <w:trHeight w:val="258.984375" w:hRule="atLeast"/>
          <w:tblHeader w:val="0"/>
        </w:trPr>
        <w:tc>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Ian Diethelm Apablaza</w:t>
            </w:r>
          </w:p>
        </w:tc>
        <w:tc>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Video del mvp y plan paso a paso a seguir para construir un producto mínimo viable.</w:t>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numPr>
          <w:ilvl w:val="0"/>
          <w:numId w:val="5"/>
        </w:numPr>
        <w:spacing w:before="80" w:line="480" w:lineRule="auto"/>
        <w:ind w:left="720" w:hanging="360"/>
        <w:jc w:val="both"/>
        <w:rPr>
          <w:rFonts w:ascii="Times New Roman" w:cs="Times New Roman" w:eastAsia="Times New Roman" w:hAnsi="Times New Roman"/>
          <w:b w:val="1"/>
          <w:bCs w:val="1"/>
          <w:sz w:val="24"/>
          <w:szCs w:val="24"/>
        </w:rPr>
      </w:pPr>
      <w:bookmarkStart w:colFirst="0" w:colLast="0" w:name="_x9br5kbj8vq6" w:id="10"/>
      <w:bookmarkEnd w:id="10"/>
      <w:r w:rsidDel="00000000" w:rsidR="00000000" w:rsidRPr="00000000">
        <w:rPr>
          <w:rFonts w:ascii="Times New Roman" w:cs="Times New Roman" w:eastAsia="Times New Roman" w:hAnsi="Times New Roman"/>
          <w:b w:val="1"/>
          <w:bCs w:val="1"/>
          <w:sz w:val="24"/>
          <w:szCs w:val="24"/>
          <w:rtl w:val="0"/>
        </w:rPr>
        <w:t xml:space="preserve">Anexo 1: Descripción detallada de los estudios realizados en los papers citados</w:t>
      </w:r>
    </w:p>
    <w:p w:rsidR="00000000" w:rsidDel="00000000" w:rsidP="00000000" w:rsidRDefault="00000000" w:rsidRPr="00000000" w14:paraId="000000F1">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sz w:val="24"/>
          <w:szCs w:val="24"/>
          <w:rtl w:val="0"/>
        </w:rPr>
        <w:t xml:space="preserve">paper</w:t>
      </w:r>
      <w:r w:rsidDel="00000000" w:rsidR="00000000" w:rsidRPr="00000000">
        <w:rPr>
          <w:rFonts w:ascii="Gungsuh" w:cs="Gungsuh" w:eastAsia="Gungsuh" w:hAnsi="Gungsuh"/>
          <w:sz w:val="24"/>
          <w:szCs w:val="24"/>
          <w:rtl w:val="0"/>
        </w:rPr>
        <w:t xml:space="preserve"> “Individual differences in the effects of musical familiarity and musical features on brain activity during relaxation” de Scarratt et al. (2025) demuestra experimentalmente que la relajación inducida por sonido no depende solo de “poner cualquier audio calmante”, sino de características acústicas concretas y de la relación del oyente con el estímulo: en un diseño 2×2 con 57 participantes, 48 fragmentos musicales de 28 segundos y cuatro condiciones (familiar/sedativa, familiar/excitativa, no familiar/sedativa, no familiar/excitativa), la condición sedativa-familiar fue la más relajante y la excitativa-no familiar la menos relajante; además, el análisis bayesiano mostró que pasar de música excitativa a sedativa aumentó la relajación en 9,8% (IC creíble 95%: 8,4–11,1%), mientras que la no familiaridad la redujo en 4,6% (IC creíble 95%: −6,1 a −3,0%), y el gusto por el estímulo la aumentó en 6,5% (IC creíble 95%: 5,75–7,26%), siendo el efecto del carácter sedativo aproximadamente el doble del efecto de la familiaridad. A nivel neuronal, el estudio aporta un mecanismo plausible para justificar intervenciones sonoras de relajación: la música familiar activó áreas auditivas, motoras, emocionales y de memoria, mientras que la música no familiar activó áreas atencionales, lo que sugiere que los estímulos conocidos y calmados reducen carga atencional y favorecen un estado más compatible con relajación; adicionalmente, los autores identificaron cuatro clústeres conductuales con patrones neurales distintos, mostrando que la respuesta a la música no es uniforme y que las intervenciones deben considerar personalización. En conjunto, el paper entrega una base sólida para sostener que un proyecto basado en cuenco tibetano o sonidos análogos es científicamente defendible si se diseña con énfasis en rasgos sedativos, familiaridad/repetición, baja demanda atencional y adaptación individual, en vez de asumir una frecuencia universal única (Scarratt et al., 2025).</w:t>
      </w:r>
    </w:p>
    <w:p w:rsidR="00000000" w:rsidDel="00000000" w:rsidP="00000000" w:rsidRDefault="00000000" w:rsidRPr="00000000" w14:paraId="000000F2">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El paper “Infants relax in response to unfamiliar foreign lullabies” de Bainbridge et al. (2020) aporta una justificación especialmente fuerte para el uso de sonidos con propiedades tipo lullaby como herramienta de relajación e inducción del sueño en bebés, porque demuestra que el efecto calmante no depende solamente de la familiaridad previa del estímulo, sino también de sus propiedades acústicas. En un experimento con 144 lactantes de entre 2,1 y 14,3 meses, expuestos a ocho canciones de cuna extranjeras no familiares comparadas con canciones no-lullaby emparejadas de otras culturas, los autores encontraron que las lullabies produjeron una disminución significativa de la frecuencia cardíaca respecto de la línea previa (M = −0.15, DE = 0.43, IC 95% [−0.23, −0.08], t(140) = −4.28, p &lt; .001, d = 0.36), mientras que las no-lullabies no generaron cambio significativo (M = −0.01, DE = 0.40, IC 95% [−0.07, 0.06], t(139) = −0.21, p = .83), y la diferencia intraparticipante entre ambos tipos de estímulo fue significativa (t(138) = −2.75, p = .007). Además, el efecto no se explicó simplemente por mayor atención: en una submuestra de 30 bebés y 3.096 observaciones, el tamaño pupilar fue menor durante las lullabies que durante las no-lullabies (t(3086) = 2.507, p = .012, β = 0.089), y en 25.938 observaciones de actividad electrodérmica de los 144 bebés, las lullabies atenuaron significativamente el aumento de activación fisiológica a lo largo del ensayo, con una diferencia esperada al final de la prueba de β = −0.075, IC 95% [−0.098, −0.052], χ² = 289.2, p &lt; .001, d = −0.25. Más aún, el efecto se mantuvo estable durante todo el primer año de vida, sin asociación significativa con la edad (F(1,137) = 1.22, p = .27), y fue predecible según el grado de infant-directedness percibido de cada canción: cuanto más infant-directed era el estímulo, mayor era la reducción esperada de frecuencia cardíaca (t(15,239) = −6, p &lt; .001, β = −0.052). Finalmente, incluso los 135 padres evaluados eligieron de forma abrumadora las lullabies como las canciones que usarían para calmar a su bebé, con una mediana de 4 elecciones de 4 posibles (RIC = 3–4; z = −9.89, p &lt; .001). En conjunto, este paper respalda de manera directa la hipótesis de que un proyecto basado en sonidos diseñados con rasgos acústicos semejantes a las lullabies —por ejemplo tempo lento, contornos melódicos suaves, baja acentuación y señal de cercanía/seguridad— tiene una base empírica sólida para inducir relajación fisiológica en bebés, incluso cuando el estímulo es nuevo y culturalmente no familiar (Bainbridge et al., 2020).</w:t>
      </w:r>
    </w:p>
    <w:p w:rsidR="00000000" w:rsidDel="00000000" w:rsidP="00000000" w:rsidRDefault="00000000" w:rsidRPr="00000000" w14:paraId="000000F3">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El paper “Music-based Intervention for Improving Sleep Quality of Adults without Sleep Disorder: A Systematic Review and Meta-analysis” de Tang et al. (2021) entrega un respaldo importante porque muestra que las intervenciones basadas en música para el sueño no son una intuición aislada, sino una línea ya estudiada de forma sistemática y cuantitativa en población adulta sin diagnóstico formal de trastorno del sueño. En concreto, los autores realizaron una revisión sistemática y metaanálisis de 22 estudios que en conjunto reclutaron 1.514 participantes, y el hallazgo más relevante es que el beneficio de calidad de sueño apareció con claridad cuando la intervención se sostuvo durante 3 semanas o más (MD = −2.09, IC 95% −3.84 a −0.34), lo que sugiere que la eficacia depende del diseño temporal y de la repetición, no de exposiciones aisladas. El paper también muestra que la mayoría de las intervenciones exitosas compartían rasgos concretos y replicables —principalmente escucha receptiva de música grabada, usualmente aplicada antes o a la hora de dormir, con tempos frecuentemente en el rango de 60–80 beats por minuto y sesiones de 12 a 60 minutos—, lo que aporta parámetros prácticos para el diseño del sistema. Además, los autores discuten mecanismos fisiológicos y cognitivos plausibles que fortalecen la viabilidad del proyecto: la música favorece el sueño porque promueve relajación, reduce ansiedad, puede disminuir cortisol, estimular el sistema parasimpático, favorecer respiración más regular y frecuencia cardíaca más baja, e incluso actuar por neural entrainment, es decir, por sincronización parcial de procesos cerebrales con la estructura temporal del estímulo sonoro. En conjunto, sus resultados permiten sostener científicamente que un proyecto orientado a desarrollar una intervención sonora para mejorar el sueño es plausible, justificable y metodológicamente defendible, especialmente si se diseña como una exposición repetida, pre-sueño, con música o estímulos auditivos de bajo arousal y con evaluación longitudinal de resultados (Tang et al., 2021).</w:t>
      </w:r>
    </w:p>
    <w:p w:rsidR="00000000" w:rsidDel="00000000" w:rsidP="00000000" w:rsidRDefault="00000000" w:rsidRPr="00000000" w14:paraId="000000F4">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estudio de Spencer et al. (1990) aporta una prueba experimental temprana, simple pero muy potente, de que un estímulo acústico continuo puede inducir de manera rápida un estado de calma compatible con el inicio del sueño en neonatos. En un ensayo aleatorizado con 40 recién nacidos sanos de 2 a 7 días de vida, distribuidos en dos grupos de 20 cada uno, los autores mostraron que 16/20 neonatos (80%) expuestos a ruido blanco se durmieron dentro de 5 minutos, frente a solo 5/20 (25%) en el grupo control, diferencia que fue estadísticamente significativa (χ² = 12.13, p &lt; .001) y equivalente a un riesgo relativo de 3.2 con IC 95% 1.5–7.0; además, entre los bebés que respondieron al estímulo, el sueño apareció antes de 2 minutos, y en los casos monitorizados la frecuencia cardíaca descendió desde aproximadamente 120–180 latidos por minuto hasta 100–110 latidos por minuto, lo que sugiere un efecto fisiológico de asentamiento y no solo una observación conductual superficial. El propio estudio caracterizó el estímulo usado: el dispositivo se colocó a 12–20 pulgadas de la cabeza del bebé, emitió aproximadamente 72.5 dB durante los primeros 30 segundos y luego 67 dB durante los 4 minutos restantes, con la mayor parte de la energía acústica concentrada entre 500 Hz y 9 kHz. En conjunto, estos datos respaldan científicamente la plausibilidad de un proyecto basado en sonido para inducir relajación y sueño, porque muestran que un estímulo acústico continuo, dosificado y físicamente caracterizado puede producir un efecto rápido, medible y replicable sobre conciliación del sueño y activación fisiológica en población neonatal; además, el paper aporta una hipótesis mecanística útil para el diseño del proyecto, al plantear que el ruido blanco podría actuar enmascarando estímulos externos que normalmente provocan alerta o microdespertares, favoreciendo así la transición al sueño (Spencer et al., 1990).</w:t>
      </w:r>
    </w:p>
    <w:p w:rsidR="00000000" w:rsidDel="00000000" w:rsidP="00000000" w:rsidRDefault="00000000" w:rsidRPr="00000000" w14:paraId="000000F5">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El paper “Effects of Tibetan Singing Bowl Intervention on Psychological and Physiological Health in Adults: A Systematic Review” de Lin et al. (2025) aporta un respaldo especialmente útil porque muestra, de forma sistemática, que las intervenciones con cuenco tibetano no solo tienen plausibilidad teórica, sino también una base empírica consistente en desregulación emocional y marcadores fisiológicos de relajación, que son precisamente los mecanismos más relevantes para un dispositivo orientado a inducir calma y facilitar el sueño. En concreto, los autores realizaron una revisión sistemática de 14 estudios cuantitativos publicados en los últimos 16 años, identificados en 6 bases de datos, e incluyeron tanto ensayos controlados aleatorizados como estudios cuasi-experimentales y pre-post, con evaluación de calidad mediante criterios JBI y síntesis de certeza con GRADE; sus resultados muestran que las intervenciones con Tibetan Singing Bowls redujeron de forma consistente la ansiedad, con una certeza moderada y tamaños de efecto reportados de 1.51 y 2.18 en estudios controlados con 110 participantes; además, para variables fisiológicas ligadas al estado de relajación, la evidencia fue baja a moderada para HRV-RMSSD (métrica de variabilidad de frecuencia cardiaca), con tamaños de efecto entre 0.6 y 0.8 en 181 participantes, y baja para frecuencia cardíaca, con cambios entre −0.5 y 0.8 en 182 participantes. En el plano neurofisiológico, la revisión reporta que </w:t>
      </w:r>
      <w:r w:rsidDel="00000000" w:rsidR="00000000" w:rsidRPr="00000000">
        <w:rPr>
          <w:rFonts w:ascii="Times New Roman" w:cs="Times New Roman" w:eastAsia="Times New Roman" w:hAnsi="Times New Roman"/>
          <w:b w:val="1"/>
          <w:bCs w:val="1"/>
          <w:sz w:val="24"/>
          <w:szCs w:val="24"/>
          <w:rtl w:val="0"/>
        </w:rPr>
        <w:t xml:space="preserve">algunas intervenciones aumentaron actividad delta y theta y redujeron alpha, beta y gamma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(es importante mencionar que las ondas theta están asociadas a estados de sueño profundo; las theta a estados de sueño REM / meditación; las alpha a relajación; beta a vigilia y concentración; gamma a procesamiento de información de alto nivel / resolver problemas complejos)</w:t>
      </w:r>
      <w:r w:rsidDel="00000000" w:rsidR="00000000" w:rsidRPr="00000000">
        <w:rPr>
          <w:rFonts w:ascii="Times New Roman" w:cs="Times New Roman" w:eastAsia="Times New Roman" w:hAnsi="Times New Roman"/>
          <w:sz w:val="24"/>
          <w:szCs w:val="24"/>
          <w:rtl w:val="0"/>
        </w:rPr>
        <w:t xml:space="preserve">, con una certeza baja a moderada y un tamaño de efecto estimado de 1.3 para actividad cerebral en 50 participantes, lo que es coherente con una transición hacia menor carga cognitiva, mayor introspección y estados de relajación profunda. El paper también es valioso porque no se limita a reportar asociaciones subjetivas: resume ensayos donde una sola sesión de 50 minutos con cuatro cuencos produjo reducciones significativas de ansiedad y aumentos de HRV frente a relajación muscular progresiva y espera pasiva (p &lt; .001), y otros donde se observaron disminuciones significativas de frecuencia cardíaca (p = .003 o p = .009) y mejoras autonómicas incluso en contextos clínicos y de alto estrés. En conjunto, esta revisión no demuestra directamente eficacia sobre insomnio, pero sí proporciona una base científica sólida para el proyecto al mostrar que el cuenco tibetano, como estímulo acústico-vibratorio, puede modificar de manera medible variables psicológicas y fisiológicas estrechamente ligadas al pre-sueño, la reducción del estrés y la desactivación autonómica; por tanto, justifica científicamente el desarrollo de una intervención tecnológica inspirada en este principio (Lin et al., 2025).</w:t>
      </w:r>
    </w:p>
    <w:p w:rsidR="00000000" w:rsidDel="00000000" w:rsidP="00000000" w:rsidRDefault="00000000" w:rsidRPr="00000000" w14:paraId="000000F6">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ensayo controlado aleatorizado “Acute relaxation response induced by Tibetan singing bowl sounds: A randomized controlled trial.” de Rio-Alamos et al. (2023) aporta un respaldo especialmente sólido porque muestra que una intervención breve con cuencos tibetanos puede inducir una respuesta aguda de relajación observable tanto en la experiencia subjetiva como en indicadores fisiológicos objetivos. El estudio trabajó con 50 adultos jóvenes que presentaban puntuaciones elevadas en ansiedad-estado —es decir, niveles altos de ansiedad sentida “en ese momento”, no necesariamente un trastorno ansioso crónico— y los asignó a tres grupos: cuencos tibetanos (n = 16), relajación muscular progresiva (n = 19) y control en espera (n = 15). Durante una sola sesión de 50 minutos, los investigadores midieron ansiedad autopercibida, actividad cerebral mediante EEG y regulación autonómica mediante HRV en cuatro momentos: T1 (línea de base), T2 (minuto 15), T3 (minuto 30) y T4 (minuto 45). Los resultados mostraron que el grupo de cuencos tibetanos presentó aumentos significativos en RMSSD, que es una medida temporal de la variabilidad de la frecuencia cardíaca y refleja cuánto cambia el intervalo entre latidos consecutivos; cuando este índice sube, normalmente se interpreta como mayor activación del sistema nervioso parasimpático, es decir, del sistema asociado a calma y recuperación. También aumentó la banda HF de la HRV —la componente de alta frecuencia, entre 0.15 y 0.4 Hz, considerada un marcador más específico de tono vagal o actividad parasimpática—, especialmente hacia los minutos 30 y 45 de la sesión. A nivel cerebral, el grupo TSB mostró una reducción significativa de la potencia alfa occipital entre T2 y T4; esto significa que disminuyó la energía eléctrica registrada por EEG en la banda alfa (8–12 Hz) en regiones posteriores del cerebro, un hallazgo que los autores interpretan como una disminución de la hiperalerta ambiental y una transición hacia un estado de mayor desconexión del entorno y relajación. Además, ambos grupos activos redujeron la ansiedad autopercibida frente al control, pero el efecto fue más marcado con cuencos tibetanos, con efectos significativos de tratamiento e interacción tiempo × tratamiento para la ansiedad (F = 9.2, p = 0.001; F = 11.61, p = 0.001), así como efectos significativos para la actividad alfa (F = 4.9, p = 0.001) y la componente HF de la HRV (F = 7.4, p = 0.002). En conjunto, este paper respalda científicamente el proyecto porque demuestra que un estímulo acústico-vibratorio basado en cuencos tibetanos puede producir, incluso en una sola sesión, cambios convergentes en ansiedad subjetiva, actividad cerebral y tono vagal, es decir, en sistemas directamente relacionados con la relajación profunda y con la preparación fisiológica necesaria para conciliar el sueño (Rio-Alamos et al., 2023).</w:t>
      </w:r>
    </w:p>
    <w:p w:rsidR="00000000" w:rsidDel="00000000" w:rsidP="00000000" w:rsidRDefault="00000000" w:rsidRPr="00000000" w14:paraId="000000F7">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estudio “Relaxation—Induced by vibroacoustic stimulation via a body monochord and via relaxation music—Is associated with a decrease in tonic electrodermal activity and an increase of the salivary cortisol level in patients with psychosomatic disorders.” de Sandler et al. (2017) aporta un respaldo relevante porque demuestra que una intervención vibroacústica, es decir, una estimulación que combina sonido audible con vibración mecánica transmitida al cuerpo, puede inducir cambios fisiológicos objetivos compatibles con relajación, incluso en una población clínicamente compleja. En este trabajo se evaluó a 42 pacientes con trastornos psicosomáticos, quienes recibieron tanto una exposición de 20 minutos a un Body Monochord como una exposición de 20 minutos a música de relajación en CD, en orden aleatorizado. El hallazgo más importante para el proyecto es que en ambas condiciones se observó una disminución marcada de la actividad electrodermal tónica, medida a través del Skin Conductance Level (SCL), que corresponde a la conductancia eléctrica de la piel y se usa como indicador de activación simpática del sistema nervioso autónomo; en términos simples, cuando el SCL baja, se interpreta que el organismo está pasando a un estado de menor alerta fisiológica y mayor calma corporal. Esa reducción fue altamente significativa a lo largo del tiempo (F[4,128] = 31.59, p &lt; .001, η² = .497) y mostró además una tendencia lineal muy robusta (F[1,32] = 42.38, p &lt; .001, η² = .570), lo que indica que el efecto relajante no fue un cambio puntual, sino una caída progresiva del nivel de activación simpática durante la sesión. Además, ambos tratamientos mejoraron el estado de ánimo: aumentó el ánimo elevado y disminuyeron significativamente la desgana, la ira y la depresividad ansiosa, sin diferencias sustantivas entre el monocordio corporal y la música de relajación. El estudio también midió cortisol salival, que es una hormona usada como marcador de activación del eje hipotálamo–hipófisis–adrenal y, por tanto, de estrés biológico; en este caso, los autores encontraron un aumento leve e inesperado del cortisol tras la primera intervención, que </w:t>
      </w:r>
      <w:r w:rsidDel="00000000" w:rsidR="00000000" w:rsidRPr="00000000">
        <w:rPr>
          <w:rFonts w:ascii="Times New Roman" w:cs="Times New Roman" w:eastAsia="Times New Roman" w:hAnsi="Times New Roman"/>
          <w:sz w:val="24"/>
          <w:szCs w:val="24"/>
          <w:rtl w:val="0"/>
        </w:rPr>
        <w:t xml:space="preserve">interpretaron</w:t>
      </w:r>
      <w:r w:rsidDel="00000000" w:rsidR="00000000" w:rsidRPr="00000000">
        <w:rPr>
          <w:rFonts w:ascii="Times New Roman" w:cs="Times New Roman" w:eastAsia="Times New Roman" w:hAnsi="Times New Roman"/>
          <w:sz w:val="24"/>
          <w:szCs w:val="24"/>
          <w:rtl w:val="0"/>
        </w:rPr>
        <w:t xml:space="preserve"> no como ausencia de relajación, sino como posible señal de que el estado de relajación pudo ir acompañado en algunos pacientes de una experiencia emocionalmente desafiante, con aparición de imágenes internas o sensaciones poco habituales. Precisamente por eso el paper es útil para el proyecto: muestra que un dispositivo basado en sonido y vibración puede inducir de forma medible una desactivación simpática y una mejoría subjetiva del estado emocional, pero también advierte que la relajación profunda no siempre es un fenómeno lineal ni puramente sedativo desde el punto de vista psicológico. En conjunto, este estudio respalda científicamente la idea de desarrollar una intervención sonora o vibroacústica para inducir calma, porque confirma que estos estímulos pueden producir cambios fisiológicos reales en sistemas estrechamente vinculados con relajación y preparación para el sueño, aunque también subraya la necesidad de diseñar cuidadosamente la experiencia subjetiva del usuario (Sandler et al., 2017).</w:t>
      </w:r>
    </w:p>
    <w:p w:rsidR="00000000" w:rsidDel="00000000" w:rsidP="00000000" w:rsidRDefault="00000000" w:rsidRPr="00000000" w14:paraId="000000F8">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el paper “Does the sound of a Singing Bowl Synchronize Meditational Brainwaves in the listeners” de Kil y Choi (2023) nos aporta un respaldo neurológico directo para el proyecto usando cuencos tibetanos, demostrando experimentalmente que el sonido del singing bowl (cuenco tibetano) sincroniza y activa la actividad cerebral del oyente en la frecuencia del beat del estímulo, la cual cae dentro de la banda theta, asociada a meditación y relajación profunda. En concreto, se encontró que la frecuencia fundamental del singing bowl era de 482.61Hz, pero que de manera inesperada, esta tenía un beat de 6.68Hz, siendo este el que cae dentro de la banda theta de frecuencias (4-8Hz). Las conclusiones centrales del paper fueron las siguientes: La activación cerebral más alta fue lograda en la frecuencia del beat, alcanzando un aumento de 251.98% con respecto al valor inicial. En particular, entre las bandas clínicas, delta aumentó a 135.18% (p = 0.001) y theta a 117.07% (p = 0.002), mientras que alpha bajó a 85.28% (p = 0.005), beta a 93.75% (p = 0.012) y gamma a 81.86% (p = 0.000). El efecto en delta y theta siguió aumentando incluso poco después de terminar el sonido del singing bowl, ya estando en silencio. Las bandas delta y theta se ven asociadas con un estado de relajación, mientras que las bandas alpha, beta y gamma con el efecto contrario. Por esto, los resultados sugieren que el efecto del singing bowl lleva a un estado de relajación profunda que ayude a conciliar el sueño. Para el proyecto, este </w:t>
      </w:r>
      <w:r w:rsidDel="00000000" w:rsidR="00000000" w:rsidRPr="00000000">
        <w:rPr>
          <w:rFonts w:ascii="Times New Roman" w:cs="Times New Roman" w:eastAsia="Times New Roman" w:hAnsi="Times New Roman"/>
          <w:sz w:val="24"/>
          <w:szCs w:val="24"/>
          <w:rtl w:val="0"/>
        </w:rPr>
        <w:t xml:space="preserve">paper</w:t>
      </w:r>
      <w:r w:rsidDel="00000000" w:rsidR="00000000" w:rsidRPr="00000000">
        <w:rPr>
          <w:rFonts w:ascii="Times New Roman" w:cs="Times New Roman" w:eastAsia="Times New Roman" w:hAnsi="Times New Roman"/>
          <w:sz w:val="24"/>
          <w:szCs w:val="24"/>
          <w:rtl w:val="0"/>
        </w:rPr>
        <w:t xml:space="preserve"> es la base principal para el uso del sonido del singing bowl para inducir el sueño, replicando el beat de 6.68Hz con el objetivo de estimular las ondas delta y theta en el cerebro. Con esto, el paper respalda científicamente la hipótesis de que un dispositivo basado en sonidos análogos al cuenco tibetano puede inducir, en cuestión de minutos, un patrón electrofisiológico característico de meditación, relajación y transición al sueño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1"/>
        <w:numPr>
          <w:ilvl w:val="0"/>
          <w:numId w:val="5"/>
        </w:numPr>
        <w:spacing w:before="80" w:line="480" w:lineRule="auto"/>
        <w:ind w:left="720" w:hanging="360"/>
        <w:jc w:val="both"/>
        <w:rPr>
          <w:rFonts w:ascii="Times New Roman" w:cs="Times New Roman" w:eastAsia="Times New Roman" w:hAnsi="Times New Roman"/>
          <w:b w:val="1"/>
          <w:bCs w:val="1"/>
          <w:sz w:val="24"/>
          <w:szCs w:val="24"/>
        </w:rPr>
      </w:pPr>
      <w:bookmarkStart w:colFirst="0" w:colLast="0" w:name="_e3qztpuurs8k" w:id="11"/>
      <w:bookmarkEnd w:id="11"/>
      <w:r w:rsidDel="00000000" w:rsidR="00000000" w:rsidRPr="00000000">
        <w:rPr>
          <w:rFonts w:ascii="Times New Roman" w:cs="Times New Roman" w:eastAsia="Times New Roman" w:hAnsi="Times New Roman"/>
          <w:b w:val="1"/>
          <w:bCs w:val="1"/>
          <w:sz w:val="24"/>
          <w:szCs w:val="24"/>
          <w:rtl w:val="0"/>
        </w:rPr>
        <w:t xml:space="preserve">Bibliografía</w:t>
      </w:r>
    </w:p>
    <w:p w:rsidR="00000000" w:rsidDel="00000000" w:rsidP="00000000" w:rsidRDefault="00000000" w:rsidRPr="00000000" w14:paraId="000000FB">
      <w:pPr>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Scarratt, R. J., Dietz, M., Vuust, P., Kleber, B., &amp; Jespersen, K. V. (2025). Individual differences in the effects of musical familiarity and musical features on brain activity during relaxation. Cognitive, Affective, &amp; Behavioral Neuroscience, 26, 155–173. </w:t>
      </w:r>
      <w:hyperlink r:id="rId9">
        <w:r w:rsidDel="00000000" w:rsidR="00000000" w:rsidRPr="00000000">
          <w:rPr>
            <w:rFonts w:ascii="Times New Roman" w:cs="Times New Roman" w:eastAsia="Times New Roman" w:hAnsi="Times New Roman"/>
            <w:color w:val="1155cc"/>
            <w:sz w:val="24"/>
            <w:szCs w:val="24"/>
            <w:u w:val="single"/>
            <w:rtl w:val="0"/>
          </w:rPr>
          <w:t xml:space="preserve">https://doi.org/10.3758/s13415-025-01342-9</w:t>
        </w:r>
      </w:hyperlink>
      <w:r w:rsidDel="00000000" w:rsidR="00000000" w:rsidRPr="00000000">
        <w:rPr>
          <w:rtl w:val="0"/>
        </w:rPr>
      </w:r>
    </w:p>
    <w:p w:rsidR="00000000" w:rsidDel="00000000" w:rsidP="00000000" w:rsidRDefault="00000000" w:rsidRPr="00000000" w14:paraId="000000FC">
      <w:pPr>
        <w:ind w:left="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Bainbridge, C. M., Bertolo, M., Youngers, J., Atwood, S., Yurdum, L., Simson, J., Lopez, K., Xing, F., Martin, A., &amp; Mehr, S. A. (2020). Infants relax in response to unfamiliar foreign lullabies. Nature Human Behaviour. </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https://doi.org/10.1038/s41562-020-00963-z</w:t>
        </w:r>
      </w:hyperlink>
      <w:r w:rsidDel="00000000" w:rsidR="00000000" w:rsidRPr="00000000">
        <w:rPr>
          <w:rtl w:val="0"/>
        </w:rPr>
      </w:r>
    </w:p>
    <w:p w:rsidR="00000000" w:rsidDel="00000000" w:rsidP="00000000" w:rsidRDefault="00000000" w:rsidRPr="00000000" w14:paraId="000000FE">
      <w:pPr>
        <w:ind w:left="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 Y. W., Teoh, S. L., Yeo, J. H. H., Ngim, C. F., Lai, N. M., Durrant, S. J., &amp; Lee, S. W. H. (2021). Music-based intervention for improving sleep quality of adults without sleep disorder: A systematic review and meta-analysis. Behavioral Sleep Medicine. </w:t>
      </w:r>
      <w:hyperlink r:id="rId11">
        <w:r w:rsidDel="00000000" w:rsidR="00000000" w:rsidRPr="00000000">
          <w:rPr>
            <w:rFonts w:ascii="Times New Roman" w:cs="Times New Roman" w:eastAsia="Times New Roman" w:hAnsi="Times New Roman"/>
            <w:color w:val="1155cc"/>
            <w:sz w:val="24"/>
            <w:szCs w:val="24"/>
            <w:u w:val="single"/>
            <w:rtl w:val="0"/>
          </w:rPr>
          <w:t xml:space="preserve">https://doi.org/10.1080/15402002.2021.1915787</w:t>
        </w:r>
      </w:hyperlink>
      <w:r w:rsidDel="00000000" w:rsidR="00000000" w:rsidRPr="00000000">
        <w:rPr>
          <w:rtl w:val="0"/>
        </w:rPr>
      </w:r>
    </w:p>
    <w:p w:rsidR="00000000" w:rsidDel="00000000" w:rsidP="00000000" w:rsidRDefault="00000000" w:rsidRPr="00000000" w14:paraId="00000100">
      <w:pPr>
        <w:ind w:left="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Spencer, J. A. D., Moran, D. J., Lee, A., &amp; Talbert, D. (1990). White noise and sleep induction. Archives of Disease in Childhood, 65(1), 135–137.</w:t>
      </w:r>
    </w:p>
    <w:p w:rsidR="00000000" w:rsidDel="00000000" w:rsidP="00000000" w:rsidRDefault="00000000" w:rsidRPr="00000000" w14:paraId="00000102">
      <w:pPr>
        <w:ind w:left="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 F.-W., Yang, Y.-H., &amp; Wang, J.-Y. (2025). Effects of Tibetan Singing Bowl intervention on psychological and physiological health in adults: A systematic review. Healthcare, 13(16), 2002. </w:t>
      </w:r>
      <w:hyperlink r:id="rId12">
        <w:r w:rsidDel="00000000" w:rsidR="00000000" w:rsidRPr="00000000">
          <w:rPr>
            <w:rFonts w:ascii="Times New Roman" w:cs="Times New Roman" w:eastAsia="Times New Roman" w:hAnsi="Times New Roman"/>
            <w:color w:val="1155cc"/>
            <w:sz w:val="24"/>
            <w:szCs w:val="24"/>
            <w:u w:val="single"/>
            <w:rtl w:val="0"/>
          </w:rPr>
          <w:t xml:space="preserve">https://doi.org/10.3390/healthcare13162002</w:t>
        </w:r>
      </w:hyperlink>
      <w:r w:rsidDel="00000000" w:rsidR="00000000" w:rsidRPr="00000000">
        <w:rPr>
          <w:rtl w:val="0"/>
        </w:rPr>
      </w:r>
    </w:p>
    <w:p w:rsidR="00000000" w:rsidDel="00000000" w:rsidP="00000000" w:rsidRDefault="00000000" w:rsidRPr="00000000" w14:paraId="00000104">
      <w:pPr>
        <w:ind w:left="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Rio-Alamos, C., Montefusco-Siegmund, R., Cañete, T., Sotomayor, J., &amp; Fernandez-Teruel, A. (2023). Acute relaxation response induced by Tibetan singing bowl sounds: A randomized controlled trial. European Journal of Investigation in Health, Psychology and Education, 13, 317–330. </w:t>
      </w:r>
      <w:hyperlink r:id="rId13">
        <w:r w:rsidDel="00000000" w:rsidR="00000000" w:rsidRPr="00000000">
          <w:rPr>
            <w:rFonts w:ascii="Times New Roman" w:cs="Times New Roman" w:eastAsia="Times New Roman" w:hAnsi="Times New Roman"/>
            <w:color w:val="1155cc"/>
            <w:sz w:val="24"/>
            <w:szCs w:val="24"/>
            <w:u w:val="single"/>
            <w:rtl w:val="0"/>
          </w:rPr>
          <w:t xml:space="preserve">https://doi.org/10.3390/ejihpe13020024</w:t>
        </w:r>
      </w:hyperlink>
      <w:r w:rsidDel="00000000" w:rsidR="00000000" w:rsidRPr="00000000">
        <w:rPr>
          <w:rtl w:val="0"/>
        </w:rPr>
      </w:r>
    </w:p>
    <w:p w:rsidR="00000000" w:rsidDel="00000000" w:rsidP="00000000" w:rsidRDefault="00000000" w:rsidRPr="00000000" w14:paraId="00000106">
      <w:pPr>
        <w:ind w:left="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Sandler, H., Fendel, U., Buße, P., Rose, M., Bösel, R., &amp; Klapp, B. F. (2017). Relaxation—Induced by vibroacoustic stimulation via a body monochord and via relaxation music—Is associated with a decrease in tonic electrodermal activity and an increase of the salivary cortisol level in patients with psychosomatic disorders. PLOS ONE, 12(1), e0170411. </w:t>
      </w:r>
      <w:hyperlink r:id="rId14">
        <w:r w:rsidDel="00000000" w:rsidR="00000000" w:rsidRPr="00000000">
          <w:rPr>
            <w:rFonts w:ascii="Times New Roman" w:cs="Times New Roman" w:eastAsia="Times New Roman" w:hAnsi="Times New Roman"/>
            <w:color w:val="1155cc"/>
            <w:sz w:val="24"/>
            <w:szCs w:val="24"/>
            <w:u w:val="single"/>
            <w:rtl w:val="0"/>
          </w:rPr>
          <w:t xml:space="preserve">https://doi.org/10.1371/journal.pone.0170411</w:t>
        </w:r>
      </w:hyperlink>
      <w:r w:rsidDel="00000000" w:rsidR="00000000" w:rsidRPr="00000000">
        <w:rPr>
          <w:rtl w:val="0"/>
        </w:rPr>
      </w:r>
    </w:p>
    <w:p w:rsidR="00000000" w:rsidDel="00000000" w:rsidP="00000000" w:rsidRDefault="00000000" w:rsidRPr="00000000" w14:paraId="00000108">
      <w:pPr>
        <w:ind w:left="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S.-C., &amp; Choi, M.-J. (2023). Does the sound of a singing bowl synchronize meditational brainwaves in the listeners? </w:t>
      </w:r>
      <w:r w:rsidDel="00000000" w:rsidR="00000000" w:rsidRPr="00000000">
        <w:rPr>
          <w:rFonts w:ascii="Times New Roman" w:cs="Times New Roman" w:eastAsia="Times New Roman" w:hAnsi="Times New Roman"/>
          <w:i w:val="1"/>
          <w:iCs w:val="1"/>
          <w:sz w:val="24"/>
          <w:szCs w:val="24"/>
          <w:rtl w:val="0"/>
        </w:rPr>
        <w:t xml:space="preserve">International Journal of Environmental Research and Public Health, 20</w:t>
      </w:r>
      <w:r w:rsidDel="00000000" w:rsidR="00000000" w:rsidRPr="00000000">
        <w:rPr>
          <w:rFonts w:ascii="Times New Roman" w:cs="Times New Roman" w:eastAsia="Times New Roman" w:hAnsi="Times New Roman"/>
          <w:sz w:val="24"/>
          <w:szCs w:val="24"/>
          <w:rtl w:val="0"/>
        </w:rPr>
        <w:t xml:space="preserve">(12), 6180.</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https://doi.org/10.3390/ijerph20126180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10">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sectPr>
      <w:headerReference r:id="rId17" w:type="default"/>
      <w:headerReference r:id="rId18" w:type="first"/>
      <w:footerReference r:id="rId19" w:type="default"/>
      <w:footerReference r:id="rId20" w:type="first"/>
      <w:type w:val="nextPage"/>
      <w:pgSz w:h="15840" w:w="12240" w:orient="portrait"/>
      <w:pgMar w:bottom="1417.3228346456694" w:top="1417.3228346456694" w:left="1417.3228346456694" w:right="1417.3228346456694" w:header="720.0000000000001"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57150" distT="57150" distL="57150" distR="57150" hidden="0" layoutInCell="1" locked="0" relativeHeight="0" simplePos="0">
          <wp:simplePos x="0" y="0"/>
          <wp:positionH relativeFrom="column">
            <wp:posOffset>-571499</wp:posOffset>
          </wp:positionH>
          <wp:positionV relativeFrom="paragraph">
            <wp:posOffset>-136799</wp:posOffset>
          </wp:positionV>
          <wp:extent cx="787774" cy="109564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7774" cy="1095640"/>
                  </a:xfrm>
                  <a:prstGeom prst="rect"/>
                  <a:ln/>
                </pic:spPr>
              </pic:pic>
            </a:graphicData>
          </a:graphic>
        </wp:anchor>
      </w:drawing>
    </w:r>
  </w:p>
  <w:p w:rsidR="00000000" w:rsidDel="00000000" w:rsidP="00000000" w:rsidRDefault="00000000" w:rsidRPr="00000000" w14:paraId="0000011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Pontificia Universidad Católica de Chile</w:t>
    </w:r>
  </w:p>
  <w:p w:rsidR="00000000" w:rsidDel="00000000" w:rsidP="00000000" w:rsidRDefault="00000000" w:rsidRPr="00000000" w14:paraId="0000011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Escuela de Ingeniería</w:t>
    </w:r>
  </w:p>
  <w:p w:rsidR="00000000" w:rsidDel="00000000" w:rsidP="00000000" w:rsidRDefault="00000000" w:rsidRPr="00000000" w14:paraId="0000011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Departamento de Ingeniería Industrial y de Sistemas</w:t>
    </w:r>
  </w:p>
  <w:p w:rsidR="00000000" w:rsidDel="00000000" w:rsidP="00000000" w:rsidRDefault="00000000" w:rsidRPr="00000000" w14:paraId="00000119">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992.1259842519685" w:hanging="283.46456692913375"/>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doi.org/10.1080/15402002.2021.1915787" TargetMode="External"/><Relationship Id="rId10" Type="http://schemas.openxmlformats.org/officeDocument/2006/relationships/hyperlink" Target="https://doi.org/10.1038/s41562-020-00963-z" TargetMode="External"/><Relationship Id="rId13" Type="http://schemas.openxmlformats.org/officeDocument/2006/relationships/hyperlink" Target="https://doi.org/10.3390/ejihpe13020024" TargetMode="External"/><Relationship Id="rId12" Type="http://schemas.openxmlformats.org/officeDocument/2006/relationships/hyperlink" Target="https://doi.org/10.3390/healthcare1316200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3758/s13415-025-01342-9" TargetMode="External"/><Relationship Id="rId15" Type="http://schemas.openxmlformats.org/officeDocument/2006/relationships/hyperlink" Target="https://doi.org/10.3390/ijerph20126180" TargetMode="External"/><Relationship Id="rId14" Type="http://schemas.openxmlformats.org/officeDocument/2006/relationships/hyperlink" Target="https://doi.org/10.1371/journal.pone.0170411" TargetMode="External"/><Relationship Id="rId17" Type="http://schemas.openxmlformats.org/officeDocument/2006/relationships/header" Target="header1.xml"/><Relationship Id="rId16" Type="http://schemas.openxmlformats.org/officeDocument/2006/relationships/hyperlink" Target="https://doi.org/10.3390/ijerph20126180"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https://youtu.be/t5JCPPA7XOo" TargetMode="External"/><Relationship Id="rId18" Type="http://schemas.openxmlformats.org/officeDocument/2006/relationships/header" Target="header2.xml"/><Relationship Id="rId7" Type="http://schemas.openxmlformats.org/officeDocument/2006/relationships/hyperlink" Target="mailto:rcadiz@uc.cl" TargetMode="External"/><Relationship Id="rId8" Type="http://schemas.openxmlformats.org/officeDocument/2006/relationships/hyperlink" Target="mailto:pcuadra@uc.c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