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_rId1_header1.jpeg" ContentType="image/jpeg"/>
  <Override PartName="/word/_rels/header1.xml.rels" ContentType="application/vnd.openxmlformats-package.relationships+xml"/>
  <Override PartName="/word/media/image_rId2_header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numPr>
          <w:ilvl w:val="0"/>
          <w:numId w:val="0"/>
        </w:numPr>
        <w:spacing w:before="0" w:after="0"/>
        <w:ind w:left="720" w:right="0" w:hanging="0"/>
        <w:jc w:val="center"/>
        <w:rPr/>
      </w:pPr>
      <w:r>
        <w:rPr/>
      </w:r>
    </w:p>
    <w:p>
      <w:pPr>
        <w:pStyle w:val="Ttulo31"/>
        <w:rPr/>
      </w:pPr>
      <w:r>
        <w:rPr/>
      </w:r>
    </w:p>
    <w:p>
      <w:pPr>
        <w:pStyle w:val="Ttulo31"/>
        <w:jc w:val="left"/>
        <w:rPr/>
      </w:pPr>
      <w:r>
        <w:rPr/>
        <w:t>COTIZACIÓN DE SERVICIOS</w:t>
      </w:r>
    </w:p>
    <w:p>
      <w:pPr>
        <w:pStyle w:val="Normal"/>
        <w:rPr>
          <w:rFonts w:ascii="Verdana" w:hAnsi="Verdana" w:cs="Verdana"/>
          <w:b/>
          <w:b/>
          <w:color w:val="000000"/>
          <w:sz w:val="27"/>
          <w:szCs w:val="27"/>
        </w:rPr>
      </w:pPr>
      <w:r>
        <w:rPr>
          <w:rFonts w:cs="Verdana" w:ascii="Verdana" w:hAnsi="Verdana"/>
          <w:b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000000"/>
          <w:sz w:val="27"/>
          <w:szCs w:val="27"/>
        </w:rPr>
        <w:t xml:space="preserve"> </w:t>
      </w:r>
      <w:r>
        <w:rPr>
          <w:rStyle w:val="Notranslate"/>
          <w:b/>
          <w:i/>
          <w:iCs/>
          <w:sz w:val="40"/>
          <w:szCs w:val="40"/>
        </w:rPr>
        <w:t>NUMERO: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translate"/>
          <w:b/>
          <w:i/>
          <w:iCs/>
          <w:sz w:val="40"/>
          <w:szCs w:val="40"/>
        </w:rPr>
        <w:t>CLIENTE: Apolo Pharmaceutics</w:t>
      </w:r>
    </w:p>
    <w:p>
      <w:pPr>
        <w:pStyle w:val="Ttulo1"/>
        <w:numPr>
          <w:ilvl w:val="0"/>
          <w:numId w:val="2"/>
        </w:numPr>
        <w:rPr/>
      </w:pPr>
      <w:r>
        <w:rPr>
          <w:rStyle w:val="Notranslate"/>
          <w:i/>
          <w:iCs/>
          <w:sz w:val="40"/>
          <w:szCs w:val="40"/>
        </w:rPr>
        <w:t xml:space="preserve">PROYECTO: </w:t>
      </w:r>
      <w:r>
        <w:rPr>
          <w:rStyle w:val="Notranslate"/>
          <w:b/>
          <w:i/>
          <w:iCs/>
          <w:sz w:val="40"/>
          <w:szCs w:val="40"/>
        </w:rPr>
        <w:t/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Fecha: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Autor: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</w:rPr>
        <w:t xml:space="preserve">Versión Control Chart: </w:t>
      </w:r>
    </w:p>
    <w:p>
      <w:pPr>
        <w:pStyle w:val="NormalWeb"/>
        <w:spacing w:before="120" w:after="0"/>
        <w:rPr>
          <w:rStyle w:val="Notranslate"/>
          <w:rFonts w:ascii="Verdana" w:hAnsi="Verdana" w:eastAsia="Verdana" w:cs="Verdana"/>
          <w:b/>
          <w:b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pacing w:before="0" w:after="240"/>
        <w:rPr/>
      </w:pPr>
      <w:r>
        <w:rPr>
          <w:rStyle w:val="Notranslate"/>
          <w:rFonts w:eastAsia="Verdana" w:cs="Verdana" w:ascii="Verdana" w:hAnsi="Verdana"/>
          <w:color w:val="000000"/>
          <w:sz w:val="20"/>
          <w:szCs w:val="20"/>
        </w:rPr>
        <w:t>
          <a href="#" id="Dias_anticipacion_prev" onclick="goToForm('Dias_anticipacion')">Ver en formulario</a>
          aaaaa
        </w:t>
      </w:r>
    </w:p>
    <w:p>
      <w:pPr>
        <w:pStyle w:val="NormalWeb"/>
        <w:spacing w:before="0" w:after="240"/>
        <w:rPr/>
      </w:pPr>
      <w:r>
        <w:rPr>
          <w:rStyle w:val="Notranslate"/>
          <w:rFonts w:eastAsia="Verdana" w:cs="Verdana" w:ascii="Verdana" w:hAnsi="Verdana"/>
          <w:color w:val="000000"/>
          <w:sz w:val="20"/>
          <w:szCs w:val="20"/>
        </w:rPr>
        <w:br/>
        <w:t xml:space="preserve">En base a lo conversado oportunamente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entre </w:t>
      </w:r>
      <w:r>
        <w:rPr>
          <w:rFonts w:cs="Verdana" w:ascii="Verdana" w:hAnsi="Verdana"/>
          <w:color w:val="000000"/>
          <w:sz w:val="20"/>
          <w:szCs w:val="20"/>
        </w:rPr>
        <w:t> con domicilio legal en </w:t>
      </w:r>
      <w:r>
        <w:rPr>
          <w:rStyle w:val="Appleconvertedspace"/>
          <w:rFonts w:cs="Verdana" w:ascii="Verdana" w:hAnsi="Verdana"/>
          <w:b/>
          <w:color w:val="008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(de aquí en adelante "Consultora") y  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 xml:space="preserve">con domicilio legal en 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( de aquí en adelante "Compañía"),</w:t>
      </w:r>
      <w:r>
        <w:rPr>
          <w:rStyle w:val="Notranslate"/>
          <w:rFonts w:cs="Verdana" w:ascii="Verdana" w:hAnsi="Verdana"/>
          <w:color w:val="008000"/>
          <w:sz w:val="20"/>
          <w:szCs w:val="20"/>
        </w:rPr>
        <w:t xml:space="preserve"> e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n [LUGAR] a los [NUMERO DE DÍAS] de mes de [MES] de [AÑO], presentamos la siguiente propuesta técnica y comercial:</w:t>
      </w:r>
    </w:p>
    <w:p>
      <w:pPr>
        <w:pStyle w:val="NormalWeb"/>
        <w:spacing w:before="0" w:after="240"/>
        <w:rPr/>
      </w:pPr>
      <w:r>
        <w:rPr/>
      </w:r>
    </w:p>
    <w:p>
      <w:pPr>
        <w:pStyle w:val="NormalWeb"/>
        <w:spacing w:before="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I- Descripción y Validez de esta Oferta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Consultora</w:t>
      </w:r>
      <w:r>
        <w:rPr>
          <w:rStyle w:val="Notranslate"/>
          <w:rFonts w:cs="Verdana" w:ascii="Verdana" w:hAnsi="Verdana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se complace en ofrecer a Compañía la realización de los Servicios según los supuestos y condiciones que se definen en el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Anexo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A de esta propuesta y con el equipo y cronograma de trabajo especificado en el mismo. Como la única consideración debida a la Consultora con respecto al tema de este contrato, Compañía pagará a la Consultora por sus servicios de consultoría según se detalla en el Anexo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B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.</w:t>
        <w:br/>
        <w:br/>
        <w:t>Esta oferta tendrá una validez de  desde el:  hasta  inclusive.-</w:t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II- Tipos de Servicios y Descripción de los Roles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Para esta propuesta se tendrán en cuenta la asignación de los siguientes Roles:</w:t>
        <w:br/>
      </w:r>
    </w:p>
    <w:p>
      <w:pPr>
        <w:pStyle w:val="NormalWeb"/>
        <w:spacing w:before="240" w:after="240"/>
        <w:rPr/>
      </w:pPr>
      <w:r>
        <w:rPr/>
        <w:t>Ingrese los roles y el detalle de actividades de los mismos:</w:t>
      </w:r>
    </w:p>
    <w:p>
      <w:pPr>
        <w:pStyle w:val="NormalWeb"/>
        <w:spacing w:before="240" w:after="240"/>
        <w:rPr/>
      </w:pPr>
      <w:r>
        <w:rPr/>
        <w:t>
          <a href="#" id="Dias_anticipacion_prev" onclick="goToForm('Dias_anticipacion')">Ver en formulario</a>
          aaaaa
       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III- Condiciones Comerciales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Se ofrece esta propuesta con los valores hora y condiciones de pagos definidos en el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Anexo B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de la misma.</w:t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 xml:space="preserve">IV- Confidencialidad, </w:t>
      </w:r>
      <w:r>
        <w:rPr>
          <w:rStyle w:val="Notranslate"/>
          <w:rFonts w:cs="Verdana" w:ascii="Verdana" w:hAnsi="Verdana"/>
          <w:b/>
          <w:bCs/>
          <w:color w:val="000000"/>
        </w:rPr>
        <w:t xml:space="preserve">Propiedad Intelectual, Derechos,   </w:t>
        <w:br/>
        <w:t xml:space="preserve">      Información del Propietario; Publicidad.</w:t>
      </w:r>
    </w:p>
    <w:p>
      <w:pPr>
        <w:pStyle w:val="NormalWeb"/>
        <w:spacing w:before="240" w:after="240"/>
        <w:rPr/>
      </w:pPr>
      <w:r>
        <w:rPr>
          <w:rStyle w:val="Notranslate"/>
          <w:rFonts w:eastAsia="Verdana" w:cs="Verdana" w:ascii="Verdana" w:hAnsi="Verdana"/>
          <w:b/>
          <w:color w:val="000000"/>
          <w:sz w:val="20"/>
          <w:szCs w:val="20"/>
        </w:rPr>
        <w:t xml:space="preserve">   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a-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Appleconvertedspace"/>
          <w:rFonts w:cs="Verdana" w:ascii="Verdana" w:hAnsi="Verdana"/>
          <w:sz w:val="20"/>
          <w:szCs w:val="20"/>
        </w:rPr>
        <w:t>Compañia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será propietaria de todos los derechos, títulos e intereses (incluyendo los derechos de patentes, derechos de autor, derechos de secretos comerciales,  los derechos de marca,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 xml:space="preserve"> los derechos del “Know-How”,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derechos de bases de datos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i/>
          <w:iCs/>
          <w:color w:val="000000"/>
          <w:sz w:val="20"/>
          <w:szCs w:val="20"/>
        </w:rPr>
        <w:t>sui generis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y todos los demás derechos que correspondan en todo el mundo) en relación con cualquiera y todas las invenciones (ya sea Obras de autoría, designaciones, diseños, conocimientos técnicos, ideas e informaciones realizadas o concebidas o reducidas a la práctica, total o parcial, patentables o no) por la Consultora en relación con los Servicios o cualquier Información Propietaria (según se define Abajo) (colectivamente, "Invenciones") y la Consultora inmediatamente revelará y proporcionará todas las Invenciones a Compañía.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Todas las invenciones se consideran “trabajos por encargo” hechas  por el contrato en la medida permitida por la ley.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Además, si alguna Invención no califica como un “trabajo por encargo” por el contrato, la Consultora por este medio hará todas las asignaciones necesarias para lograr que Compañía adquiera la propiedad correspondiente.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La Consultora deberá asistir a Compañía, a expensas de Compañía, para evidenciar, registrar y perfeccionar dichas asignaciones, y para perfeccionar, obtener, mantener, hacer cumplir y defender los derechos asignados.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Por este medio, la Consultora designa irrevocablemente a Compañía y a sus agentes como abogados de hecho para actuar en nombre de  Consultora para ejecutar y archivar cualquier documento y hacer todos los demás actos legalmente permitidos para promover lo anterior con la misma fuerza legal y efecto como si fuese ejecutado por la Consultora.</w:t>
      </w:r>
    </w:p>
    <w:p>
      <w:pPr>
        <w:pStyle w:val="NormalWeb"/>
        <w:spacing w:before="240" w:after="240"/>
        <w:rPr/>
      </w:pPr>
      <w:r>
        <w:rPr>
          <w:rStyle w:val="Notranslate"/>
          <w:rFonts w:eastAsia="Verdana" w:cs="Verdana" w:ascii="Verdana" w:hAnsi="Verdana"/>
          <w:b/>
          <w:color w:val="000000"/>
          <w:sz w:val="20"/>
          <w:szCs w:val="20"/>
        </w:rPr>
        <w:t xml:space="preserve">   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b-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Consultora acepta que todas las Invenciones y toda otra información comercial, técnica y financiera (incluyendo, sin limitación, la identidad e información relacionada con los clientes o empleados) que desarrolle, aprenda u obtenga en relación con los Servicios o que son recibidos por o para Compañía en confidencialidad, constituyen "Información Propietaria". Consultora mantendrá confidencialidad y no divulgará (excepto en la ejecución necesaria de los Servicios), cualquier Información Privilegiada.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Sin embargo,  Consultora no tendrá obligaciones bajo este párrafo con respecto a la información que Consultora pueda documentar, sea o se transforme en publica sin falta o intención de  Consultora.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En el momento de la rescisión del contrato y según lo solicitado por Compañía,  Consultora regresará sin demora a Compañía, todos los artículos y copias que contengan o puedan contener información de propiedad, excepto que Consultora puede mantener sus copias personales de sus registros de compensación y este Contrato.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Consultora también reconoce y acepta que no tiene ninguna expectativa de privacidad con respecto a los sistemas de telecomunicaciones, redes o procesamiento de información de Compañía(incluyendo, pero sin limitación, a archivos informáticos almacenados, mensajes de correo electrónico y mensajes de voz), o utilizando cualquiera de esos sistemas puede ser monitoreados en cualquier momento sin previo aviso. Consultora además acepta que cualquier propiedad ubicada en las instalaciones de Compañiay/o propiedad arrendada o de cualquier otra forma poseída por Compañía, incluyendo computadoras, Soportes de almacenamiento, archivadores u otras áreas de trabajo, está sujeto a inspección por parte del personal de Compañiaen cualquier momento, con o sin previo aviso.</w:t>
      </w:r>
    </w:p>
    <w:p>
      <w:pPr>
        <w:pStyle w:val="NormalWeb"/>
        <w:spacing w:before="240" w:after="240"/>
        <w:rPr/>
      </w:pPr>
      <w:r>
        <w:rPr>
          <w:rStyle w:val="Notranslate"/>
          <w:rFonts w:eastAsia="Verdana" w:cs="Verdana" w:ascii="Verdana" w:hAnsi="Verdana"/>
          <w:b/>
          <w:color w:val="000000"/>
          <w:sz w:val="20"/>
          <w:szCs w:val="20"/>
        </w:rPr>
        <w:t xml:space="preserve">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c-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Como protección adicional para la Información Propietaria,  durante el periodo durante el cual Consultora está (o se supone que esta) proporcionando los Servicios </w:t>
      </w:r>
    </w:p>
    <w:p>
      <w:pPr>
        <w:pStyle w:val="NormalWeb"/>
        <w:spacing w:before="240" w:after="240"/>
        <w:ind w:left="567" w:right="0" w:hanging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(1)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y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durante un año a partir de entonces,  Consultora no alentará ni solicitará a ningún empleado o consultor de Compañía que abandone Compañía por ninguna razón, y </w:t>
      </w:r>
    </w:p>
    <w:p>
      <w:pPr>
        <w:pStyle w:val="NormalWeb"/>
        <w:spacing w:before="240" w:after="240"/>
        <w:ind w:left="567" w:right="0" w:hanging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(2)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Consultora no participará en ninguna actividad que sea de ninguna manera competitiva con el negocio o negocio demostrablemente anticipado de Compañía, y el Asesor no ayudará a ninguna otra persona u organización a competir o prepararse para competir con cualquier negocio actual o negocio potencial de Compañía.</w:t>
      </w:r>
    </w:p>
    <w:p>
      <w:pPr>
        <w:pStyle w:val="NormalWeb"/>
        <w:spacing w:before="240" w:after="240"/>
        <w:rPr/>
      </w:pPr>
      <w:r>
        <w:rPr>
          <w:rStyle w:val="Notranslate"/>
          <w:rFonts w:eastAsia="Verdana" w:cs="Verdana" w:ascii="Verdana" w:hAnsi="Verdana"/>
          <w:b/>
          <w:color w:val="000000"/>
          <w:sz w:val="20"/>
          <w:szCs w:val="20"/>
        </w:rPr>
        <w:t xml:space="preserve">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d-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En la medida permitida por la ley, Sección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IV.a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y cualquier licencia a Compañía en este documento incluye todos los derechos de paternidad, integridad, revelación y retiro y cualquier otro derecho que se conozca como "derechos morales", "derechos de artista"  o similares. Además, la Consultora está de contrato en que, sin perjuicio de los derechos de publicidad, privacidad o cualquier otra cosa (ya sea estatutaria o no) en cualquier parte del mundo y sin ninguna compensación adicional, Desacompañare y está por la presente autorizada a usar el nombre de  Consultora en relación con la promoción de su negocio, servicios y para permitir que otros lo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bCs/>
          <w:color w:val="000000"/>
          <w:sz w:val="20"/>
          <w:szCs w:val="20"/>
        </w:rPr>
        <w:t>hagan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En la medida en que cualquiera de los anteriores no sea efectivo bajo la ley aplicable,  Consultora por la presente provee todas y cada una de las ratificaciones y consentimientos necesarios para lograr los propósitos de lo anterior en la medida de lo posible.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Consultora confirmará dichas ratificaciones y consentimientos de vez en cuando según sea solicitado por Compañía.</w:t>
      </w:r>
    </w:p>
    <w:p>
      <w:pPr>
        <w:pStyle w:val="NormalWeb"/>
        <w:spacing w:before="240" w:after="240"/>
        <w:rPr/>
      </w:pPr>
      <w:r>
        <w:rPr>
          <w:rStyle w:val="Notranslate"/>
          <w:rFonts w:eastAsia="Verdana" w:cs="Verdana" w:ascii="Verdana" w:hAnsi="Verdana"/>
          <w:b/>
          <w:color w:val="000000"/>
          <w:sz w:val="20"/>
          <w:szCs w:val="20"/>
        </w:rPr>
        <w:t xml:space="preserve">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e-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Si cualquier parte de los Servicios o Invenciones se basa en, incorpora, o es una mejora o derivado de, o no puede ser razonablemente y completamente hecho, utilizado, reproducido, distribuido o de otra manera explotado sin utilizar o violar la tecnología o derechos de propiedad intelectual de propiedad o licenciado por Consultora y no asignado en virtud del presente contrato, Consultora otorga a Compañia y a sus sucesores un derecho perpetuo, irrevocable, mundial, libre de regalías, no exclusivo, sublicenciable y la licencia para explotar y ejercer completamente dicha tecnología y derechos de propiedad intelectual en apoyo del ejercicio de Compañía, o explotación de sus Servicios, Invenciones, otros trabajos realizados en el presente o cualquier otro derecho asignado (incluidas las modificaciones, mejoras y derivados de cualquiera de ellos).</w:t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V- Forma de Pago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sz w:val="20"/>
          <w:szCs w:val="20"/>
        </w:rPr>
        <w:t xml:space="preserve">La forma de pago queda acordada según los detalles descriptos en el </w:t>
      </w:r>
      <w:r>
        <w:rPr>
          <w:rStyle w:val="Notranslate"/>
          <w:rFonts w:cs="Verdana" w:ascii="Verdana" w:hAnsi="Verdana"/>
          <w:b/>
          <w:sz w:val="20"/>
          <w:szCs w:val="20"/>
        </w:rPr>
        <w:t xml:space="preserve">Anexo A </w:t>
      </w:r>
      <w:r>
        <w:rPr>
          <w:rStyle w:val="Notranslate"/>
          <w:rFonts w:cs="Verdana" w:ascii="Verdana" w:hAnsi="Verdana"/>
          <w:sz w:val="20"/>
          <w:szCs w:val="20"/>
        </w:rPr>
        <w:t xml:space="preserve">de esta propuesta. En caso en que Compañía no pudiese abonar los servicios de la forma detallada, entonces Consultora podrá suspender los mismos sin culpa o responsabilidad o cobrar al cliente por los gastos mas intereses incurridos por los servicios prestados hasta tanto no se regularice el pago de los mismos. </w:t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VI-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Garantía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Consultora garantiza que: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(1)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Los Servicios se realizarán de manera profesional y que ninguno de dichos Servicios o parte de este Contrato es o será incompatible con cualquier obligación que  Consultora pueda tener con otros;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(2)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Todo trabajo bajo este Contrato será trabajo original de Consultora y ninguno de los Servicios o Invenciones o cualquier desarrollo, uso, producción, distribución o explotación del mismo infringirá, se apropiará indebidamente o violará cualquier propiedad intelectual u otro derecho de cualquier persona o entidad (incluyendo, sin limitación al Consultor);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(3)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Consultora tiene el pleno derecho de proveer a Compañía de las asignaciones y derechos previstos en este documento;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(4)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Consultora deberá cumplir con todas las leyes aplicables y las reglas de seguridad de Compañiaen el curso de la ejecución de los Servicios y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(5)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Fonts w:cs="Verdana" w:ascii="Verdana" w:hAnsi="Verdana"/>
          <w:color w:val="000000"/>
          <w:sz w:val="20"/>
          <w:szCs w:val="20"/>
        </w:rPr>
        <w:t> 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Si el trabajo de Consultora requiere una licencia, Consultora ha obtenido esa licencia y la licencia está en pleno vigor y efecto.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VII.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Terminación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Si cualquiera de las partes viola una disposición material de este contrato, la otra parte puede rescindir el mismo con un aviso por escrito de ([DÍAS_TERMINACIÓN]) días a menos que el incumplimiento se resuelva dentro del período de notificación.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Compañía también puede rescindir este contrato en cualquier momento, con o sin causa, con un aviso de diez (10) días, pero si (y sólo si) fuera sin causa, Compañía deberá pagar a  Consultora todas las cantidades no pagadas por servicios completados antes de la notificación de la terminación del contrato.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Secciones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 xml:space="preserve"> IV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(sujeto a las limitaciones de la Sección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 xml:space="preserve"> IV.c 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establecidos en el mismo) a través de este contrato y cualquier recurso por incumplimiento de este contrato sobrevivirá a cualquier terminación o vencimiento.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Compañía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puede comunicar dichas obligaciones a cualquier otro (o potencial) cliente o empleador de Consultora.</w:t>
        <w:br/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VIII.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Relación de las partes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Sin perjuicio de cualquier disposición del presente, a todos los efectos del presente contrato cada parte será y actuará como contratista independiente y no como socio, coadyuvante o agente de la otra y no obligará ni intentará vincular a la otra a ningún contrato.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Consultora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es un/a contratista independiente y es el/la única/o responsable de todos los impuestos, retenciones y otras obligaciones legales o contractuales de cualquier tipo, incluyendo, pero no limitado a, seguro de compensación de trabajadores.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La Consultora se compromete a indemnizar, defender y salvar a la Compadece cualquier reclamo o amenaza de reclamo por cualquier tercero, incluyendo empleados de cualquiera de las partes, que surja de, bajo o en relación con: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a-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La muerte o lesiones corporales de cualquier tercero, incluyendo cualquier agente, empleado, cliente, invitado de negocios o visitante de negocios de Compañía, pero sólo en la medida en que sea causada por Consultora, o el daño, pérdida o destrucción de cualquier daño personal o propiedad real tangible Pero sólo en la medida en que sea causado o contribuido por Consultora;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o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>b-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Un acto u omisión de Consultora en su calidad de empleador de una persona y que se derive de o se relacione con: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(1)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Leyes nacionales, provinciales, municipales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 o de otra índole para la protección de las personas que son miembros de una clase o categoría protegida o personas,</w:t>
        <w:br/>
        <w:br/>
        <w:t>(2)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Discriminación sexual o acoso,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(3)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Lesiones o muertes relacionadas con el trabajo,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(4)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Beneficios acumulados de empleados y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(5)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Cualquier otro aspecto del empleo o de la relación contractual o de su terminación (incluidas las reclamaciones por incumplimiento de un contrato de trabajo expreso o implícito) y que, con respecto a cada una de las cláusulas (1) a (5), hayan surgido cuando el reclamante , demanda, carga, accióna u otro procedimiento era o pretendía ser un empleado o contratista independiente de Consultora.</w:t>
        <w:br/>
        <w:br/>
        <w:br/>
      </w:r>
      <w:r>
        <w:rPr>
          <w:rStyle w:val="Notranslate"/>
          <w:rFonts w:cs="Verdana" w:ascii="Verdana" w:hAnsi="Verdana"/>
          <w:b/>
          <w:color w:val="000000"/>
        </w:rPr>
        <w:t>IX-</w:t>
      </w:r>
      <w:r>
        <w:rPr>
          <w:rStyle w:val="Appleconvertedspace"/>
          <w:rFonts w:cs="Verdana" w:ascii="Verdana" w:hAnsi="Verdana"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Asignación</w:t>
      </w:r>
      <w:r>
        <w:rPr>
          <w:rStyle w:val="Appleconvertedspace"/>
          <w:rFonts w:cs="Verdana" w:ascii="Verdana" w:hAnsi="Verdana"/>
          <w:color w:val="000000"/>
        </w:rPr>
        <w:t> 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Este Contrato y los servicios contemplados en este documento son personales para  Consultora y Consultora no tendrá el derecho o la capacidad de asignar, transferir o subcontratar ningún servicio bajo este contrato sin el consentimiento por escrito de la Compañía.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Cualquier intento de hacerlo será nulo.</w:t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</w:rPr>
        <w:t>X.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Notificación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>Todos los avisos bajo este contrato serán por escrito y se considerarán dados cuando se entreguen personalmente, o por otros medios electrónicos, o [DÍAS_NOTIFICACIÓN] días después de ser enviados por correo certificado a la dirección de la parte para ser registrado como se establece en este documento o cualquier otra dirección que dicha parte haya proporcionado por última vez a la anterior por medio de notificación por escrito.</w:t>
        <w:br/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XI-</w:t>
      </w:r>
      <w:r>
        <w:rPr>
          <w:rStyle w:val="Appleconvertedspace"/>
          <w:rFonts w:cs="Verdana" w:ascii="Verdana" w:hAnsi="Verdana"/>
          <w:b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Varios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  <w:br/>
        <w:br/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El incumplimiento por cualquiera de las partes de hacer valer sus derechos bajo este contrato en cualquier momento por cualquier período no se interpretará como una renuncia a tales derechos.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Ningún cambio o modificación o renuncia a este contrato será efectivo a menos que sea por escrito y firmado por ambas partes.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En el caso de que cualquier disposición de este contrato sea considerada ilegal o inaplicable, dicha disposición será limitada o eliminada en la medida mínima necesaria para que el presente contrato permanezca en pleno vigor y efecto.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Este contrato se regirá e interpretará de contrato con las leyes de  sin tener en cuenta las disposiciones de conflictos de leyes.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Cualquier acción legal o procedimiento relacionado con este contrato será llevado exclusivamente a los tribunales correspondientes ubicados en el ,  y cada parte consiente su jurisdicción. En cualquier acción o procedimiento para hacer cumplir los derechos bajo este contrato, la parte prevaleciente tendrá derecho a recuperar los costos y los honorarios de los abogados.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Los encabezados de este documento son sólo por conveniencia de referencia y no afectarán de ninguna manera la interpretación del contrato. Cualquier incumplimiento o amenaza de incumplimiento de las Secciones II, III ó VI de este Contrato causará un daño irreparable a Compañía y por lo tanto, Compañiatiene derecho a una medida cautelar con respecto a la misma (sin la necesidad de publicar ninguna fianza) además de cualquier otro recurso.</w:t>
      </w:r>
      <w:r>
        <w:rPr>
          <w:rStyle w:val="Appleconvertedspace"/>
          <w:rFonts w:cs="Verdana" w:ascii="Verdana" w:hAnsi="Verdana"/>
          <w:color w:val="000000"/>
          <w:sz w:val="20"/>
          <w:szCs w:val="20"/>
        </w:rPr>
        <w:t> </w:t>
      </w:r>
      <w:r>
        <w:rPr>
          <w:rStyle w:val="Notranslate"/>
          <w:rFonts w:cs="Verdana" w:ascii="Verdana" w:hAnsi="Verdana"/>
          <w:color w:val="000000"/>
          <w:sz w:val="20"/>
          <w:szCs w:val="20"/>
        </w:rPr>
        <w:t>Este contrato constituye el contrato completo y exclusivo entre las partes en relación con su objeto y reemplaza todos los contratos o entendimientos anteriores o contemporáneos, escritos u orales, relacionados con el tema aquí descripto.</w:t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Como constancia de este acuerdo se firman dos ejemplares del mismo tenor y valor para ambas partes interesadas el [DÍA] DEL [MES] DEL [AÑO]:</w:t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0" w:after="0"/>
        <w:rPr/>
      </w:pP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  </w:t>
      </w:r>
      <w:r>
        <w:rPr>
          <w:rFonts w:cs="Verdana" w:ascii="Verdana" w:hAnsi="Verdana"/>
          <w:b/>
          <w:color w:val="000000"/>
          <w:sz w:val="20"/>
          <w:szCs w:val="20"/>
        </w:rPr>
        <w:t xml:space="preserve">Por Compañía                                                                   Por Consultora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br/>
      </w:r>
    </w:p>
    <w:p>
      <w:pPr>
        <w:pStyle w:val="NormalWeb"/>
        <w:spacing w:before="0" w:after="0"/>
        <w:rPr/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                </w:t>
      </w:r>
      <w:r>
        <w:rPr>
          <w:rFonts w:cs="Verdana" w:ascii="Verdana" w:hAnsi="Verdana"/>
          <w:b/>
          <w:color w:val="000000"/>
          <w:sz w:val="20"/>
          <w:szCs w:val="20"/>
        </w:rPr>
        <w:t>Firma                                                                    Firma</w:t>
        <w:br/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                   </w:t>
        <w:br/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>                                    </w:t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/>
      </w:r>
    </w:p>
    <w:p>
      <w:pPr>
        <w:pStyle w:val="NormalWeb"/>
        <w:spacing w:before="240" w:after="240"/>
        <w:jc w:val="center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ANEXO A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Servicios Ofrecidos: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br/>
        <w:t xml:space="preserve">Cronograma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br/>
        <w:t>Entregables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
          <a href="#" id="Dias_anticipacion_prev" onclick="goToForm('Dias_anticipacion')">Ver en formulario</a>
          aaaaa
        </w:t>
      </w:r>
    </w:p>
    <w:p>
      <w:pPr>
        <w:pStyle w:val="NormalWeb"/>
        <w:spacing w:before="240" w:after="240"/>
        <w:rPr/>
      </w:pPr>
      <w:r>
        <w:rPr>
          <w:rFonts w:cs="Verdana" w:ascii="Verdana" w:hAnsi="Verdana"/>
          <w:b/>
          <w:bCs/>
          <w:color w:val="000000"/>
        </w:rPr>
        <w:br/>
        <w:t>Supuestos: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br/>
        <w:t>Condiciones:</w:t>
      </w:r>
    </w:p>
    <w:p>
      <w:pPr>
        <w:pStyle w:val="NormalWeb"/>
        <w:spacing w:before="240" w:after="240"/>
        <w:rPr/>
      </w:pPr>
      <w:r>
        <w:rPr/>
        <w:t/>
        <w:br/>
        <w:br/>
        <w:br/>
        <w:t>Equipo de Trabajo</w:t>
      </w:r>
    </w:p>
    <w:p>
      <w:pPr>
        <w:pStyle w:val="NormalWeb"/>
        <w:spacing w:before="240" w:after="240"/>
        <w:rPr/>
      </w:pPr>
      <w:r>
        <w:rPr/>
        <w:t>
          <a href="#" id="Dias_anticipacion_prev" onclick="goToForm('Dias_anticipacion')">Ver en formulario</a>
          aaaaa
        </w:t>
      </w:r>
    </w:p>
    <w:p>
      <w:pPr>
        <w:pStyle w:val="NormalWeb"/>
        <w:spacing w:before="240" w:after="240"/>
        <w:rPr/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    </w:t>
      </w:r>
      <w:r>
        <w:rPr>
          <w:rFonts w:cs="Verdana" w:ascii="Verdana" w:hAnsi="Verdana"/>
          <w:b/>
          <w:color w:val="000000"/>
          <w:sz w:val="20"/>
          <w:szCs w:val="20"/>
        </w:rPr>
        <w:t>TOTAL VALOR DEL EQUIPO DE TRABAJO:</w:t>
        <w:br/>
      </w:r>
    </w:p>
    <w:p>
      <w:pPr>
        <w:pStyle w:val="NormalWeb"/>
        <w:spacing w:before="240" w:after="240"/>
        <w:rPr/>
      </w:pPr>
      <w:r>
        <w:rPr>
          <w:rFonts w:cs="Verdana" w:ascii="Verdana" w:hAnsi="Verdana"/>
          <w:color w:val="000000"/>
          <w:sz w:val="20"/>
          <w:szCs w:val="20"/>
        </w:rPr>
        <w:t>En caso se necesite cambiar la composición o cantidad de miembros del team se deberá avisar a Consultora con no menos de </w:t>
      </w:r>
      <w:r>
        <w:rPr>
          <w:rFonts w:cs="Verdana" w:ascii="Verdana" w:hAnsi="Verdana"/>
          <w:b/>
          <w:color w:val="008000"/>
          <w:sz w:val="20"/>
          <w:szCs w:val="20"/>
        </w:rPr>
        <w:t xml:space="preserve"> </w:t>
      </w:r>
      <w:r>
        <w:rPr>
          <w:rFonts w:cs="Verdana" w:ascii="Verdana" w:hAnsi="Verdana"/>
          <w:color w:val="000000"/>
          <w:sz w:val="20"/>
          <w:szCs w:val="20"/>
        </w:rPr>
        <w:t>días de anticipación.-</w:t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240" w:after="240"/>
        <w:jc w:val="center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ANEXO B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Forma de Pago:</w:t>
      </w:r>
    </w:p>
    <w:p>
      <w:pPr>
        <w:pStyle w:val="NormalWeb"/>
        <w:spacing w:before="240" w:after="240"/>
        <w:rPr/>
      </w:pPr>
      <w:r>
        <w:rPr/>
        <w:t>(ej. Las facturas se emitirán vencidas del 1 al 5 de cada mes y se deberán abonar como máximo 30 días luego de su radicacion en las oficinas de Compañía. Se cobrara un 1% por día por mora en el pago).</w:t>
        <w:br/>
        <w:br/>
        <w:t>Si hubiese necesidad de asignación de horas extras, estas se facturaran según el siguiente cuadro: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 w:val="false"/>
          <w:bCs w:val="false"/>
          <w:color w:val="000000"/>
          <w:sz w:val="20"/>
          <w:szCs w:val="20"/>
        </w:rPr>
        <w:t>
          <a href="#" id="Dias_anticipacion_prev" onclick="goToForm('Dias_anticipacion')">Ver en formulario</a>
          aaaaa
       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bCs/>
          <w:color w:val="000000"/>
        </w:rPr>
        <w:t>Política de Reembolso de Gastos; Viajes u Otros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t xml:space="preserve">Los valores de este contrato no incluyen ningún gastos de transporte del equipo u otro tipo de gastos que serán en consecuencia facturados aparte. </w:t>
        <w:br/>
        <w:t>Estos pueden incluir (aunque no se limitan a): Boletos de Avión, Hotel, Transporte, Comida o cualquier otro gasto que la Consultora considere necesarios para la continuidad del servicio.</w:t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Notas:</w:t>
        <w:br/>
        <w:t>Todas las cifras expresadas en: (USD) United States Dollar.</w:t>
        <w:br/>
        <w:t>No se incluyen impuestos en los valores aquí presentados.</w:t>
      </w:r>
    </w:p>
    <w:p>
      <w:pPr>
        <w:pStyle w:val="NormalWeb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3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thic720 Lt BT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74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9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26.6pt;margin-top:0.05pt;width:11.95pt;height:13.7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9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>
        <w:rFonts w:ascii="Verdana" w:hAnsi="Verdana" w:cs="Verdana"/>
        <w:sz w:val="12"/>
        <w:szCs w:val="12"/>
        <w:lang w:val="en-US"/>
      </w:rPr>
    </w:pPr>
    <w:r>
      <w:rPr>
        <w:rFonts w:cs="Verdana" w:ascii="Verdana" w:hAnsi="Verdana"/>
        <w:sz w:val="12"/>
        <w:szCs w:val="12"/>
        <w:lang w:val="en-US"/>
      </w:rPr>
      <w:t xml:space="preserve">@Copyright 2017-2022, TaskControl PMS . All Rights Reserved. Confidential Information, Reproduction without permission is prohibited.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/>
    </w:pP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99.956989247312px;height:70px">
          <v:imagedata r:id="rId1" o:title=""/>
        </v:shape>
      </w:pict>
      <w:t/>
      <w:tab/>
      <w:tab/>
      <w:tab/>
      <w:tab/>
      <w:tab/>
      <w:tab/>
      <w:tab/>
      <w:tab/>
      <w:tab/>
      <w:t/>
      <w:pict>
        <v:shape type="#_x0000_t75" style="width:84px;height:70px">
          <v:imagedata r:id="rId2" o:title=""/>
        </v:shape>
      </w:pict>
      <w:t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ind w:hanging="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7">
    <w:name w:val="Heading 7"/>
    <w:basedOn w:val="Ttulo"/>
    <w:qFormat/>
    <w:pPr>
      <w:widowControl w:val="false"/>
      <w:bidi w:val="0"/>
      <w:spacing w:before="60" w:after="60"/>
      <w:jc w:val="left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basedOn w:val="Ttulo"/>
    <w:qFormat/>
    <w:pPr>
      <w:widowControl w:val="false"/>
      <w:bidi w:val="0"/>
      <w:spacing w:before="60" w:after="60"/>
      <w:ind w:hanging="0"/>
      <w:jc w:val="left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WW8Num3z0">
    <w:name w:val="WW8Num3z0"/>
    <w:qFormat/>
    <w:rPr>
      <w:rFonts w:ascii="Symbol" w:hAnsi="Symbol" w:cs="Symbol"/>
      <w:color w:val="000000"/>
      <w:sz w:val="22"/>
    </w:rPr>
  </w:style>
  <w:style w:type="character" w:styleId="WW8Num3z1">
    <w:name w:val="WW8Num3z1"/>
    <w:qFormat/>
    <w:rPr>
      <w:rFonts w:ascii="Courier New" w:hAnsi="Courier New" w:cs="Courier New"/>
      <w:color w:val="99CC00"/>
    </w:rPr>
  </w:style>
  <w:style w:type="character" w:styleId="WW8Num3z2">
    <w:name w:val="WW8Num3z2"/>
    <w:qFormat/>
    <w:rPr>
      <w:rFonts w:ascii="Wingdings" w:hAnsi="Wingdings" w:cs="Wingdings"/>
      <w:color w:val="99CC00"/>
    </w:rPr>
  </w:style>
  <w:style w:type="character" w:styleId="WW8Num3z3">
    <w:name w:val="WW8Num3z3"/>
    <w:qFormat/>
    <w:rPr>
      <w:rFonts w:ascii="Symbol" w:hAnsi="Symbol" w:cs="Symbol"/>
      <w:color w:val="99CC00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3z5">
    <w:name w:val="WW8Num3z5"/>
    <w:qFormat/>
    <w:rPr>
      <w:rFonts w:ascii="Wingdings" w:hAnsi="Wingdings" w:cs="Wingdings"/>
    </w:rPr>
  </w:style>
  <w:style w:type="character" w:styleId="WW8Num3z6">
    <w:name w:val="WW8Num3z6"/>
    <w:qFormat/>
    <w:rPr>
      <w:rFonts w:ascii="Symbol" w:hAnsi="Symbol" w:cs="Symbol"/>
    </w:rPr>
  </w:style>
  <w:style w:type="character" w:styleId="Fuentedeprrafopredeter3">
    <w:name w:val="Fuente de párrafo predeter.3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Nmerodepgina">
    <w:name w:val="Número de página"/>
    <w:basedOn w:val="Fuentedeprrafopredeter4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;Courier New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;Courier New"/>
    </w:rPr>
  </w:style>
  <w:style w:type="paragraph" w:styleId="Ttulo21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31">
    <w:name w:val="Título3"/>
    <w:basedOn w:val="Ttulo21"/>
    <w:qFormat/>
    <w:pPr>
      <w:jc w:val="center"/>
    </w:pPr>
    <w:rPr>
      <w:b/>
      <w:bCs/>
      <w:sz w:val="56"/>
      <w:szCs w:val="56"/>
    </w:rPr>
  </w:style>
  <w:style w:type="paragraph" w:styleId="Ttulo41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NormalTextsansChar">
    <w:name w:val="Normal Text sans Char"/>
    <w:basedOn w:val="Normal"/>
    <w:qFormat/>
    <w:pPr>
      <w:suppressAutoHyphens w:val="false"/>
      <w:spacing w:before="160" w:after="280"/>
      <w:ind w:left="2835" w:right="357" w:hanging="0"/>
    </w:pPr>
    <w:rPr>
      <w:rFonts w:ascii="Gothic720 Lt BT;Times New Roman" w:hAnsi="Gothic720 Lt BT;Times New Roman" w:eastAsia="MS Mincho;MS Gothic" w:cs="Gothic720 Lt BT;Times New Roman"/>
      <w:color w:val="000000"/>
      <w:sz w:val="19"/>
      <w:lang w:val="en-US"/>
    </w:rPr>
  </w:style>
  <w:style w:type="paragraph" w:styleId="Sumario1">
    <w:name w:val="TOC 1"/>
    <w:basedOn w:val="Normal"/>
    <w:next w:val="Normal"/>
    <w:pPr>
      <w:suppressAutoHyphens w:val="false"/>
      <w:spacing w:before="120" w:after="120"/>
    </w:pPr>
    <w:rPr>
      <w:rFonts w:ascii="Arial" w:hAnsi="Arial" w:cs="Arial"/>
      <w:sz w:val="22"/>
      <w:lang w:val="en-US"/>
    </w:rPr>
  </w:style>
  <w:style w:type="paragraph" w:styleId="Sumario2">
    <w:name w:val="TOC 2"/>
    <w:basedOn w:val="Normal"/>
    <w:next w:val="Normal"/>
    <w:pPr>
      <w:suppressAutoHyphens w:val="false"/>
      <w:spacing w:before="120" w:after="120"/>
      <w:ind w:left="240" w:right="0" w:hanging="0"/>
    </w:pPr>
    <w:rPr>
      <w:rFonts w:ascii="Arial" w:hAnsi="Arial" w:cs="Arial"/>
      <w:sz w:val="22"/>
      <w:lang w:val="en-US"/>
    </w:rPr>
  </w:style>
  <w:style w:type="paragraph" w:styleId="Contenidodelmarco">
    <w:name w:val="Contenido del marco"/>
    <w:basedOn w:val="Normal"/>
    <w:qFormat/>
    <w:pPr/>
    <w:rPr/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Textoconsangra1">
    <w:name w:val="Texto con sangría1"/>
    <w:basedOn w:val="Ttulo41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tulo">
    <w:name w:val="Subtitle"/>
    <w:basedOn w:val="Ttulo41"/>
    <w:qFormat/>
    <w:pPr>
      <w:spacing w:before="60" w:after="120"/>
      <w:jc w:val="center"/>
    </w:pPr>
    <w:rPr>
      <w:sz w:val="36"/>
      <w:szCs w:val="36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Relationship Id="rId2" Type="http://schemas.openxmlformats.org/officeDocument/2006/relationships/image" Target="media/image_rId2_header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7</Pages>
  <Words>2430</Words>
  <Characters>13777</Characters>
  <CharactersWithSpaces>16471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2017-07-26T08:28:46Z</dcterms:created>
  <dc:creator/>
  <dc:description/>
  <dc:language>es-CL</dc:language>
  <cp:lastModifiedBy/>
  <dcterms:modified xsi:type="dcterms:W3CDTF">2021-10-09T21:07:23Z</dcterms:modified>
  <cp:revision>7</cp:revision>
  <dc:subject/>
  <dc:title>Caso de negocio</dc:title>
</cp:coreProperties>
</file>