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CU0004 – Visualizar tablón</w:t>
      </w: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0.0" w:type="dxa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Gianluca Persia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CU0004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tablón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la visualización de mensajes propios y de los usuarios seguidos.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8190"/>
        <w:tblGridChange w:id="0">
          <w:tblGrid>
            <w:gridCol w:w="1485"/>
            <w:gridCol w:w="8190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2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página principal/tablón.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toma los últimos mensajes publicados por los usuarios en la lista de seguidos del usuario.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muestra los mensajes seleccionados en orden cronológico inverso (de más reciente a más antiguo).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47.0" w:type="dxa"/>
        <w:tblLayout w:type="fixed"/>
        <w:tblLook w:val="0000"/>
      </w:tblPr>
      <w:tblGrid>
        <w:gridCol w:w="1455"/>
        <w:gridCol w:w="8070"/>
        <w:tblGridChange w:id="0">
          <w:tblGrid>
            <w:gridCol w:w="1455"/>
            <w:gridCol w:w="80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8"/>
        <w:tab w:val="right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672.0" w:type="dxa"/>
      <w:jc w:val="left"/>
      <w:tblInd w:w="0.0" w:type="dxa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CU0004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5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Visualizar tablón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1D6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CEfk1uoxPmH3mQSgNBWVVWN8A==">AMUW2mWeB3s7qHmjP8Ckwh3ZGBb9DlHK5wWG2trWFDF2GfS+0YF9yeUfcmDoq66+U9ZjEJh8crwEKsmZbdVWx8ns/SgURoh2dn0aMN2SMhppwZ+RE+maOnLAvQVZMAyIAzkO/HaYqbNA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2021-04-08T22:00:00Z</dcterms:created>
  <dc:creator>Gianluca</dc:creator>
</cp:coreProperties>
</file>