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CU0018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0"/>
          <w:szCs w:val="20"/>
          <w:rtl w:val="0"/>
        </w:rPr>
        <w:t xml:space="preserve">ditar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Soria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Editar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Permite cambiar la información almacenada sobre esa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Requiere confirmación a través de la contraseña.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su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de edición de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habilita la edición de los campos permitidos y muestra el botón para eliminar la cuenta. {cd 3.1}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modifica los datos que considere permanente.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de guardado.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valida los datos. {sf 6.1}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solicita la contraseña.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la contraseña y confirma su acción. {sf 8.1}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actualiza los datos del usuario.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0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 6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Datos inválidos.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muestra un error e indica los datos que tienen un formato invalido.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sf 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Contraseña incorrecta.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muestra un error de contraseña incorrecta.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7.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0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permitidos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campos disponibles para manipulación serán: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(caracter 50).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 (caracter 50).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de la cuenta.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de Nacimiento.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0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widowControl w:val="0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CU001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Editar cuenta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