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Autónoma de Guadalajara</w:t>
      </w:r>
    </w:p>
    <w:p>
      <w:pPr>
        <w:jc w:val="center"/>
      </w:pPr>
      <w:r>
        <w:t>Pruebas de Software</w:t>
      </w:r>
    </w:p>
    <w:p/>
    <w:p/>
    <w:p>
      <w:pPr>
        <w:pStyle w:val="Title"/>
        <w:jc w:val="center"/>
      </w:pPr>
      <w:r>
        <w:t>Pruebas de caja blanca documentadas</w:t>
      </w:r>
    </w:p>
    <w:p>
      <w:pPr>
        <w:pStyle w:val="Subtitle"/>
        <w:jc w:val="center"/>
      </w:pPr>
      <w:r>
        <w:t>P2 A2.2</w:t>
      </w:r>
    </w:p>
    <w:p>
      <w:pPr>
        <w:jc w:val="center"/>
      </w:pPr>
      <w:r>
        <w:t>Cobertura de sentencias, ramas y caminos</w:t>
      </w:r>
    </w:p>
    <w:p/>
    <w:p>
      <w:pPr>
        <w:jc w:val="center"/>
      </w:pPr>
      <w:r>
        <w:t>Francisco Hernández Lara</w:t>
      </w:r>
    </w:p>
    <w:p>
      <w:pPr>
        <w:jc w:val="center"/>
      </w:pPr>
      <w:r>
        <w:t>14 de octubre de 2026</w:t>
      </w:r>
    </w:p>
    <w:p/>
    <w:p>
      <w:pPr>
        <w:jc w:val="center"/>
      </w:pPr>
      <w:r>
        <w:t>Repositorio de la actividad</w:t>
      </w:r>
    </w:p>
    <w:p>
      <w:pPr>
        <w:jc w:val="center"/>
      </w:pPr>
      <w:hyperlink r:id="rId9">
        <w:r>
          <w:t>https://github.com/FrancsicoLa/P2-A2.2-Pruebas-de-caja-blanca</w:t>
        </w:r>
      </w:hyperlink>
    </w:p>
    <w:p>
      <w:r>
        <w:br w:type="page"/>
      </w:r>
    </w:p>
    <w:p>
      <w:pPr>
        <w:pStyle w:val="Heading1"/>
      </w:pPr>
      <w:r>
        <w:t>Código y preparación</w:t>
      </w:r>
    </w:p>
    <w:p>
      <w:r>
        <w:t>En esta actividad ejecuté los casos que había planteado en P2 A2-1. Guardé la función en process.py y las pruebas en test_process.py. Los 18 casos pasaron y los reportes marcaron 100 % de sentencias y ramas. Para los caminos revisé las 16 combinaciones de una lista de dos valores.</w:t>
      </w:r>
    </w:p>
    <w:p>
      <w:pPr>
        <w:spacing w:after="140"/>
      </w:pPr>
      <w:r>
        <w:rPr>
          <w:rFonts w:ascii="Consolas" w:hAnsi="Consolas"/>
          <w:sz w:val="18"/>
        </w:rPr>
        <w:t>def process(values):</w:t>
        <w:br/>
        <w:t xml:space="preserve">    result = []</w:t>
        <w:br/>
        <w:t xml:space="preserve">    for value in values:</w:t>
        <w:br/>
        <w:t xml:space="preserve">        if value &gt; 0:</w:t>
        <w:br/>
        <w:t xml:space="preserve">            result.append("positivo")</w:t>
        <w:br/>
        <w:t xml:space="preserve">        if value % 2 == 0:</w:t>
        <w:br/>
        <w:t xml:space="preserve">            result.append("par")</w:t>
        <w:br/>
        <w:t xml:space="preserve">    return result</w:t>
        <w:br/>
      </w:r>
    </w:p>
    <w:p>
      <w:r>
        <w:t>Los dos if son independientes. Por eso el 2 agrega tanto "positivo" como "par". Usé estas cuatro rutas, igual que en la actividad anterior:</w:t>
      </w:r>
    </w:p>
    <w:tbl>
      <w:tblPr>
        <w:tblW w:type="auto" w:w="0"/>
        <w:tblLayout w:type="fixed"/>
        <w:tblLook w:firstColumn="1" w:firstRow="1" w:lastColumn="0" w:lastRow="0" w:noHBand="0" w:noVBand="1" w:val="04A0"/>
      </w:tblPr>
      <w:tblGrid>
        <w:gridCol w:w="720"/>
        <w:gridCol w:w="3456"/>
        <w:gridCol w:w="864"/>
        <w:gridCol w:w="5040"/>
      </w:tblGrid>
      <w:tr>
        <w:tc>
          <w:tcPr>
            <w:tcW w:type="dxa" w:w="720"/>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b/>
                <w:sz w:val="18"/>
              </w:rPr>
              <w:t>Ruta</w:t>
            </w:r>
          </w:p>
        </w:tc>
        <w:tc>
          <w:tcPr>
            <w:tcW w:type="dxa" w:w="3456"/>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18"/>
              </w:rPr>
              <w:t>Condiciones</w:t>
            </w:r>
          </w:p>
        </w:tc>
        <w:tc>
          <w:tcPr>
            <w:tcW w:type="dxa" w:w="864"/>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18"/>
              </w:rPr>
              <w:t>Valor</w:t>
            </w:r>
          </w:p>
        </w:tc>
        <w:tc>
          <w:tcPr>
            <w:tcW w:type="dxa" w:w="5040"/>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18"/>
              </w:rPr>
              <w:t>Resultado</w:t>
            </w:r>
          </w:p>
        </w:tc>
      </w:tr>
      <w:t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A</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Positivo y par</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["positivo", "par"]</w:t>
            </w:r>
          </w:p>
        </w:tc>
      </w:tr>
      <w:t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B</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Positivo e impar</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["positivo"]</w:t>
            </w:r>
          </w:p>
        </w:tc>
      </w:tr>
      <w:t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C</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No positivo y par</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["par"]</w:t>
            </w:r>
          </w:p>
        </w:tc>
      </w:tr>
      <w:t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D</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No positivo e impar</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w:t>
            </w:r>
          </w:p>
        </w:tc>
      </w:tr>
    </w:tbl>
    <w:p>
      <w:pPr>
        <w:pStyle w:val="Heading2"/>
      </w:pPr>
      <w:r>
        <w:t>Cómo preparé las pruebas</w:t>
      </w:r>
    </w:p>
    <w:p>
      <w:r>
        <w:t>Instalé pytest y pytest-cov. Cada función tiene su marcador registrado en pytest.ini y usa @pytest.mark.parametrize. Así pude ejecutar cada etapa por separado y comparar la salida completa con el resultado esperado mediante assert.</w:t>
      </w:r>
    </w:p>
    <w:p>
      <w:pPr>
        <w:spacing w:after="140"/>
      </w:pPr>
      <w:r>
        <w:rPr>
          <w:rFonts w:ascii="Consolas" w:hAnsi="Consolas"/>
          <w:sz w:val="18"/>
        </w:rPr>
        <w:t>python -m pip install -r requirements.txt</w:t>
        <w:br/>
        <w:br/>
        <w:t>@pytest.mark.statement</w:t>
        <w:br/>
        <w:t>@pytest.mark.parametrize("values, expected", [</w:t>
        <w:br/>
        <w:t xml:space="preserve">    pytest.param([2], ["positivo", "par"], id="S1-A"),</w:t>
        <w:br/>
        <w:t>])</w:t>
        <w:br/>
        <w:t>def test_statement_coverage(values, expected):</w:t>
        <w:br/>
        <w:t xml:space="preserve">    assert process(values) == expected</w:t>
      </w:r>
    </w:p>
    <w:p>
      <w:r>
        <w:t>El mismo esquema se usa en test_branch_coverage con el marcador branch y en test_path_coverage con path. Los resultados esperados se escribieron de forma explícita; no se calcularon con la función que se está probando.</w:t>
      </w:r>
    </w:p>
    <w:p>
      <w:r>
        <w:t>Usé Python 3.12.14, pytest 9.1.1 y pytest-cov 7.1.0. El comando python -m pytest ejecuta pytest con ese intérprete. En cobertura usé --cov=process porque se indica el módulo; el archivo medido aparece como process.py en el reporte.</w:t>
      </w:r>
    </w:p>
    <w:p>
      <w:r>
        <w:br w:type="page"/>
      </w:r>
    </w:p>
    <w:p>
      <w:pPr>
        <w:pStyle w:val="Heading1"/>
      </w:pPr>
      <w:r>
        <w:t>Resultados de los casos</w:t>
      </w:r>
    </w:p>
    <w:p>
      <w:r>
        <w:t>Completé los valores obtenidos de las tablas anteriores. En todos los casos coincidieron con lo esperado. En esta tabla abrevié "positivo" como P y "par" como R para que las listas se lean con más facilidad; en el código están las cadenas completas.</w:t>
      </w:r>
    </w:p>
    <w:tbl>
      <w:tblPr>
        <w:tblW w:type="auto" w:w="0"/>
        <w:tblLayout w:type="fixed"/>
        <w:tblLook w:firstColumn="1" w:firstRow="1" w:lastColumn="0" w:lastRow="0" w:noHBand="0" w:noVBand="1" w:val="04A0"/>
      </w:tblPr>
      <w:tblGrid>
        <w:gridCol w:w="792"/>
        <w:gridCol w:w="1440"/>
        <w:gridCol w:w="1008"/>
        <w:gridCol w:w="3384"/>
        <w:gridCol w:w="3456"/>
      </w:tblGrid>
      <w:tr>
        <w:tc>
          <w:tcPr>
            <w:tcW w:type="dxa" w:w="792"/>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b/>
                <w:sz w:val="18"/>
              </w:rPr>
              <w:t>Caso</w:t>
            </w:r>
          </w:p>
        </w:tc>
        <w:tc>
          <w:tcPr>
            <w:tcW w:type="dxa" w:w="1440"/>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18"/>
              </w:rPr>
              <w:t>Entrada</w:t>
            </w:r>
          </w:p>
        </w:tc>
        <w:tc>
          <w:tcPr>
            <w:tcW w:type="dxa" w:w="1008"/>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18"/>
              </w:rPr>
              <w:t>Ruta</w:t>
            </w:r>
          </w:p>
        </w:tc>
        <w:tc>
          <w:tcPr>
            <w:tcW w:type="dxa" w:w="3384"/>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18"/>
              </w:rPr>
              <w:t>Esperado</w:t>
            </w:r>
          </w:p>
        </w:tc>
        <w:tc>
          <w:tcPr>
            <w:tcW w:type="dxa" w:w="3456"/>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18"/>
              </w:rPr>
              <w:t>Obtenido</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S1</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A</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D1</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 -2]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B → C</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P1</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 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A → A</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 P,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 P,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P2</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 1]</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A → B</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 P]</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 P]</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P3</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 -2]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A → C</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P4</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 -1]</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A → D</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P5</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 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B → A</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P,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P,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P6</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 1]</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B → B</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P]</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P]</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P7</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 -2]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B → C</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P8</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 -1]</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B → D</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P9</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 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C → A</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 P,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 P,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P10</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 1]</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C → B</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 P]</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 P]</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P11</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 -2]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C → C</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P12</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[-2, -1]</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C → D</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P13</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 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D → A</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 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P14</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 1]</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D → B</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[P]</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P15</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 -2]</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D → C</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[R]</w:t>
            </w:r>
          </w:p>
        </w:tc>
      </w:tr>
      <w:tr>
        <w:tc>
          <w:tcPr>
            <w:tcW w:type="dxa" w:w="7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18"/>
              </w:rPr>
              <w:t>P16</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[-1, -1]</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D → D</w:t>
            </w:r>
          </w:p>
        </w:tc>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18"/>
              </w:rPr>
              <w:t>[]</w:t>
            </w:r>
          </w:p>
        </w:tc>
      </w:tr>
    </w:tbl>
    <w:p>
      <w:pPr>
        <w:pStyle w:val="Heading2"/>
      </w:pPr>
      <w:r>
        <w:t>Qué muestran los resultados</w:t>
      </w:r>
    </w:p>
    <w:p>
      <w:r>
        <w:t>Con [2] se ejecutan las ocho sentencias. Con [1, -2] cada if toma una vez su salida verdadera y una vez su salida falsa. El reporte de ramas cuenta seis salidas: cuatro de los dos if y dos del ciclo for. No quedaron sentencias sin ejecutar ni ramas parciales.</w:t>
      </w:r>
    </w:p>
    <w:p>
      <w:r>
        <w:t>Para caminos se probaron 4 × 4 = 16 combinaciones. Esto cubre los 16 caminos de decisión para exactamente dos valores. pytest-cov no mide caminos directamente: su 100 % corresponde a sentencias y ramas. La cobertura de caminos se justifica con la lista de 16 casos, no con ese porcentaje, y no se extiende a listas de cualquier longitud.</w:t>
      </w:r>
    </w:p>
    <w:p>
      <w:r>
        <w:br w:type="page"/>
      </w:r>
    </w:p>
    <w:p>
      <w:pPr>
        <w:pStyle w:val="Heading1"/>
      </w:pPr>
      <w:r>
        <w:t>Resumen y control de versiones</w:t>
      </w:r>
    </w:p>
    <w:tbl>
      <w:tblPr>
        <w:tblW w:type="auto" w:w="0"/>
        <w:tblLayout w:type="fixed"/>
        <w:tblLook w:firstColumn="1" w:firstRow="1" w:lastColumn="0" w:lastRow="0" w:noHBand="0" w:noVBand="1" w:val="04A0"/>
      </w:tblPr>
      <w:tblGrid>
        <w:gridCol w:w="2016"/>
        <w:gridCol w:w="2160"/>
        <w:gridCol w:w="2880"/>
        <w:gridCol w:w="3024"/>
      </w:tblGrid>
      <w:tr>
        <w:tc>
          <w:tcPr>
            <w:tcW w:type="dxa" w:w="2016"/>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b/>
                <w:sz w:val="20"/>
              </w:rPr>
              <w:t>Etapa</w:t>
            </w:r>
          </w:p>
        </w:tc>
        <w:tc>
          <w:tcPr>
            <w:tcW w:type="dxa" w:w="2160"/>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20"/>
              </w:rPr>
              <w:t>Casos aprobados</w:t>
            </w:r>
          </w:p>
        </w:tc>
        <w:tc>
          <w:tcPr>
            <w:tcW w:type="dxa" w:w="2880"/>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20"/>
              </w:rPr>
              <w:t>Sentencias</w:t>
            </w:r>
          </w:p>
        </w:tc>
        <w:tc>
          <w:tcPr>
            <w:tcW w:type="dxa" w:w="3024"/>
            <w:shd w:fill="E9EDF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sz w:val="20"/>
              </w:rPr>
              <w:t>Ramas</w:t>
            </w:r>
          </w:p>
        </w:tc>
      </w:tr>
      <w:t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20"/>
              </w:rPr>
              <w:t>Sentencias</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20"/>
              </w:rPr>
              <w:t>1 de 1</w:t>
            </w:r>
          </w:p>
        </w:tc>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20"/>
              </w:rPr>
              <w:t>8 de 8 · 100 %</w:t>
            </w:r>
          </w:p>
        </w:tc>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20"/>
              </w:rPr>
              <w:t>No se midieron</w:t>
            </w:r>
          </w:p>
        </w:tc>
      </w:tr>
      <w:t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20"/>
              </w:rPr>
              <w:t>Ramas</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20"/>
              </w:rPr>
              <w:t>1 de 1</w:t>
            </w:r>
          </w:p>
        </w:tc>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20"/>
              </w:rPr>
              <w:t>8 de 8 · 100 %</w:t>
            </w:r>
          </w:p>
        </w:tc>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20"/>
              </w:rPr>
              <w:t>6 de 6 · 100 %</w:t>
            </w:r>
          </w:p>
        </w:tc>
      </w:tr>
      <w:t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jc w:val="center"/>
            </w:pPr>
            <w:r>
              <w:rPr>
                <w:sz w:val="20"/>
              </w:rPr>
              <w:t>Caminos</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20"/>
              </w:rPr>
              <w:t>16 de 16</w:t>
            </w:r>
          </w:p>
        </w:tc>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20"/>
              </w:rPr>
              <w:t>8 de 8 · 100 %</w:t>
            </w:r>
          </w:p>
        </w:tc>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sz w:val="20"/>
              </w:rPr>
              <w:t>6 de 6 · 100 %</w:t>
            </w:r>
          </w:p>
        </w:tc>
      </w:tr>
    </w:tbl>
    <w:p>
      <w:r>
        <w:t>También ejecuté todas las pruebas juntas. El resultado fue 18 passed, con 100 % de sentencias y ramas. Los casos que aparecen como deselected en las capturas pertenecen a otros marcadores; no son pruebas fallidas.</w:t>
      </w:r>
    </w:p>
    <w:p>
      <w:pPr>
        <w:pStyle w:val="Heading2"/>
      </w:pPr>
      <w:r>
        <w:t>Los tres commits</w:t>
      </w:r>
    </w:p>
    <w:p>
      <w:r>
        <w:t>Organicé el trabajo en tres commits para que se vea cómo se agregó cada cobertura. Las primeras dos etapas incluyen sus pruebas y evidencias; la tercera agrega los caminos y esta documentación.</w:t>
      </w:r>
    </w:p>
    <w:p>
      <w:pPr>
        <w:pStyle w:val="ListNumber"/>
      </w:pPr>
      <w:r>
        <w:t>Etapa 1: pruebas parametrizadas y cobertura de sentencias</w:t>
      </w:r>
    </w:p>
    <w:p>
      <w:pPr>
        <w:pStyle w:val="ListNumber"/>
      </w:pPr>
      <w:r>
        <w:t>Etapa 2: prueba parametrizada y cobertura de ramas</w:t>
      </w:r>
    </w:p>
    <w:p>
      <w:pPr>
        <w:pStyle w:val="ListNumber"/>
      </w:pPr>
      <w:r>
        <w:t>Etapa 3: caminos completos para dos valores y documentación final</w:t>
      </w:r>
    </w:p>
    <w:p>
      <w:r>
        <w:t>El historial se puede revisar en GitHub en la sección de commits:</w:t>
      </w:r>
    </w:p>
    <w:p>
      <w:hyperlink r:id="rId10">
        <w:r>
          <w:t>https://github.com/FrancsicoLa/P2-A2.2-Pruebas-de-caja-blanca/commits/main</w:t>
        </w:r>
      </w:hyperlink>
    </w:p>
    <w:p>
      <w:pPr>
        <w:spacing w:after="140"/>
      </w:pPr>
      <w:r>
        <w:rPr>
          <w:rFonts w:ascii="Consolas" w:hAnsi="Consolas"/>
          <w:sz w:val="18"/>
        </w:rPr>
        <w:t>git log --oneline --reverse</w:t>
        <w:br/>
        <w:t>git push -u origin main</w:t>
      </w:r>
    </w:p>
    <w:p>
      <w:pPr>
        <w:pStyle w:val="Heading2"/>
      </w:pPr>
      <w:r>
        <w:t>Conclusión</w:t>
      </w:r>
    </w:p>
    <w:p>
      <w:r>
        <w:t>Al ejecutar las pruebas confirmé que el código devuelve lo que había planteado en la actividad anterior. Me quedó más clara la diferencia entre cubrir las líneas, pasar por las dos salidas de cada decisión y recorrer las combinaciones de caminos. Una sola entrada como [2] alcanza para sentencias, pero hacen falta otros casos para comprobar las decisiones y los caminos.</w:t>
      </w:r>
    </w:p>
    <w:p>
      <w:r>
        <w:t>Las siguientes seis capturas se tomaron en Visual Studio Code y muestran la salida real de pytest en su consola. Se incluye una ejecución por marcador y un reporte de cobertura para cada etapa. Para conservar la secuencia, ejecuté cada etapa con la versión de sus archivos en el commit correspondiente. Los registros de texto también están en la carpeta evidencias del repositorio.</w:t>
      </w:r>
    </w:p>
    <w:p>
      <w:pPr>
        <w:sectPr>
          <w:pgSz w:w="12240" w:h="15840"/>
          <w:pgMar w:top="1008" w:right="1080" w:bottom="1008" w:left="1080" w:header="720" w:footer="720" w:gutter="0"/>
          <w:cols w:space="720"/>
          <w:docGrid w:linePitch="360"/>
        </w:sectPr>
      </w:pPr>
    </w:p>
    <w:p>
      <w:pPr>
        <w:pStyle w:val="Heading1"/>
      </w:pPr>
      <w:r>
        <w:t>Sentencias ejecución de pytest</w:t>
      </w:r>
    </w:p>
    <w:p>
      <w:r>
        <w:t>Captura 1 de 6. La prueba S1 pasó. En esta primera etapa solo estaba agregada la prueba de sentencias.</w:t>
      </w:r>
    </w:p>
    <w:p>
      <w:pPr>
        <w:spacing w:after="0"/>
      </w:pPr>
      <w:r>
        <w:drawing>
          <wp:inline xmlns:a="http://schemas.openxmlformats.org/drawingml/2006/main" xmlns:pic="http://schemas.openxmlformats.org/drawingml/2006/picture">
            <wp:extent cx="8961120" cy="5974080"/>
            <wp:docPr id="1" name="Picture 1"/>
            <wp:cNvGraphicFramePr>
              <a:graphicFrameLocks noChangeAspect="1"/>
            </wp:cNvGraphicFramePr>
            <a:graphic>
              <a:graphicData uri="http://schemas.openxmlformats.org/drawingml/2006/picture">
                <pic:pic>
                  <pic:nvPicPr>
                    <pic:cNvPr id="0" name="doc_01_sentencias_pruebas.jpg"/>
                    <pic:cNvPicPr/>
                  </pic:nvPicPr>
                  <pic:blipFill>
                    <a:blip r:embed="rId11"/>
                    <a:stretch>
                      <a:fillRect/>
                    </a:stretch>
                  </pic:blipFill>
                  <pic:spPr>
                    <a:xfrm>
                      <a:off x="0" y="0"/>
                      <a:ext cx="8961120" cy="5974080"/>
                    </a:xfrm>
                    <a:prstGeom prst="rect"/>
                  </pic:spPr>
                </pic:pic>
              </a:graphicData>
            </a:graphic>
          </wp:inline>
        </w:drawing>
      </w:r>
    </w:p>
    <w:p>
      <w:pPr>
        <w:sectPr>
          <w:pgSz w:w="15840" w:h="12240" w:orient="landscape"/>
          <w:pgMar w:top="792" w:right="792" w:bottom="792" w:left="792" w:header="720" w:footer="720" w:gutter="0"/>
          <w:cols w:space="720"/>
          <w:docGrid w:linePitch="360"/>
        </w:sectPr>
      </w:pPr>
    </w:p>
    <w:p>
      <w:pPr>
        <w:pStyle w:val="Heading1"/>
      </w:pPr>
      <w:r>
        <w:t>Sentencias reporte de cobertura</w:t>
      </w:r>
    </w:p>
    <w:p>
      <w:r>
        <w:t>Captura 2 de 6. El reporte mostró 8 sentencias, 0 pendientes y 100 % de cobertura.</w:t>
      </w:r>
    </w:p>
    <w:p>
      <w:pPr>
        <w:spacing w:after="0"/>
      </w:pPr>
      <w:r>
        <w:drawing>
          <wp:inline xmlns:a="http://schemas.openxmlformats.org/drawingml/2006/main" xmlns:pic="http://schemas.openxmlformats.org/drawingml/2006/picture">
            <wp:extent cx="8961120" cy="5974080"/>
            <wp:docPr id="2" name="Picture 2"/>
            <wp:cNvGraphicFramePr>
              <a:graphicFrameLocks noChangeAspect="1"/>
            </wp:cNvGraphicFramePr>
            <a:graphic>
              <a:graphicData uri="http://schemas.openxmlformats.org/drawingml/2006/picture">
                <pic:pic>
                  <pic:nvPicPr>
                    <pic:cNvPr id="0" name="doc_02_sentencias_cobertura.jpg"/>
                    <pic:cNvPicPr/>
                  </pic:nvPicPr>
                  <pic:blipFill>
                    <a:blip r:embed="rId12"/>
                    <a:stretch>
                      <a:fillRect/>
                    </a:stretch>
                  </pic:blipFill>
                  <pic:spPr>
                    <a:xfrm>
                      <a:off x="0" y="0"/>
                      <a:ext cx="8961120" cy="5974080"/>
                    </a:xfrm>
                    <a:prstGeom prst="rect"/>
                  </pic:spPr>
                </pic:pic>
              </a:graphicData>
            </a:graphic>
          </wp:inline>
        </w:drawing>
      </w:r>
    </w:p>
    <w:p>
      <w:pPr>
        <w:sectPr>
          <w:pgSz w:w="15840" w:h="12240" w:orient="landscape"/>
          <w:pgMar w:top="792" w:right="792" w:bottom="792" w:left="792" w:header="720" w:footer="720" w:gutter="0"/>
          <w:cols w:space="720"/>
          <w:docGrid w:linePitch="360"/>
        </w:sectPr>
      </w:pPr>
    </w:p>
    <w:p>
      <w:pPr>
        <w:pStyle w:val="Heading1"/>
      </w:pPr>
      <w:r>
        <w:t>Ramas ejecución de pytest</w:t>
      </w:r>
    </w:p>
    <w:p>
      <w:r>
        <w:t>Captura 3 de 6. La prueba D1 pasó con [1, -2]. El caso de sentencias quedó deseleccionado por el marcador.</w:t>
      </w:r>
    </w:p>
    <w:p>
      <w:pPr>
        <w:spacing w:after="0"/>
      </w:pPr>
      <w:r>
        <w:drawing>
          <wp:inline xmlns:a="http://schemas.openxmlformats.org/drawingml/2006/main" xmlns:pic="http://schemas.openxmlformats.org/drawingml/2006/picture">
            <wp:extent cx="8961120" cy="5974080"/>
            <wp:docPr id="3" name="Picture 3"/>
            <wp:cNvGraphicFramePr>
              <a:graphicFrameLocks noChangeAspect="1"/>
            </wp:cNvGraphicFramePr>
            <a:graphic>
              <a:graphicData uri="http://schemas.openxmlformats.org/drawingml/2006/picture">
                <pic:pic>
                  <pic:nvPicPr>
                    <pic:cNvPr id="0" name="doc_03_ramas_pruebas.jpg"/>
                    <pic:cNvPicPr/>
                  </pic:nvPicPr>
                  <pic:blipFill>
                    <a:blip r:embed="rId13"/>
                    <a:stretch>
                      <a:fillRect/>
                    </a:stretch>
                  </pic:blipFill>
                  <pic:spPr>
                    <a:xfrm>
                      <a:off x="0" y="0"/>
                      <a:ext cx="8961120" cy="5974080"/>
                    </a:xfrm>
                    <a:prstGeom prst="rect"/>
                  </pic:spPr>
                </pic:pic>
              </a:graphicData>
            </a:graphic>
          </wp:inline>
        </w:drawing>
      </w:r>
    </w:p>
    <w:p>
      <w:pPr>
        <w:sectPr>
          <w:pgSz w:w="15840" w:h="12240" w:orient="landscape"/>
          <w:pgMar w:top="792" w:right="792" w:bottom="792" w:left="792" w:header="720" w:footer="720" w:gutter="0"/>
          <w:cols w:space="720"/>
          <w:docGrid w:linePitch="360"/>
        </w:sectPr>
      </w:pPr>
    </w:p>
    <w:p>
      <w:pPr>
        <w:pStyle w:val="Heading1"/>
      </w:pPr>
      <w:r>
        <w:t>Ramas reporte de cobertura</w:t>
      </w:r>
    </w:p>
    <w:p>
      <w:r>
        <w:t>Captura 4 de 6. Se cubrieron las 8 sentencias y las 6 salidas de ramas. BrPart fue 0 y no hubo líneas pendientes.</w:t>
      </w:r>
    </w:p>
    <w:p>
      <w:pPr>
        <w:spacing w:after="0"/>
      </w:pPr>
      <w:r>
        <w:drawing>
          <wp:inline xmlns:a="http://schemas.openxmlformats.org/drawingml/2006/main" xmlns:pic="http://schemas.openxmlformats.org/drawingml/2006/picture">
            <wp:extent cx="8961120" cy="5974080"/>
            <wp:docPr id="4" name="Picture 4"/>
            <wp:cNvGraphicFramePr>
              <a:graphicFrameLocks noChangeAspect="1"/>
            </wp:cNvGraphicFramePr>
            <a:graphic>
              <a:graphicData uri="http://schemas.openxmlformats.org/drawingml/2006/picture">
                <pic:pic>
                  <pic:nvPicPr>
                    <pic:cNvPr id="0" name="doc_04_ramas_cobertura.jpg"/>
                    <pic:cNvPicPr/>
                  </pic:nvPicPr>
                  <pic:blipFill>
                    <a:blip r:embed="rId14"/>
                    <a:stretch>
                      <a:fillRect/>
                    </a:stretch>
                  </pic:blipFill>
                  <pic:spPr>
                    <a:xfrm>
                      <a:off x="0" y="0"/>
                      <a:ext cx="8961120" cy="5974080"/>
                    </a:xfrm>
                    <a:prstGeom prst="rect"/>
                  </pic:spPr>
                </pic:pic>
              </a:graphicData>
            </a:graphic>
          </wp:inline>
        </w:drawing>
      </w:r>
    </w:p>
    <w:p>
      <w:pPr>
        <w:sectPr>
          <w:pgSz w:w="15840" w:h="12240" w:orient="landscape"/>
          <w:pgMar w:top="792" w:right="792" w:bottom="792" w:left="792" w:header="720" w:footer="720" w:gutter="0"/>
          <w:cols w:space="720"/>
          <w:docGrid w:linePitch="360"/>
        </w:sectPr>
      </w:pPr>
    </w:p>
    <w:p>
      <w:pPr>
        <w:pStyle w:val="Heading1"/>
      </w:pPr>
      <w:r>
        <w:t>Caminos ejecución de pytest</w:t>
      </w:r>
    </w:p>
    <w:p>
      <w:r>
        <w:t>Captura 5 de 6. Los 16 casos de A → A a D → D pasaron. Los otros dos casos quedaron deseleccionados.</w:t>
      </w:r>
    </w:p>
    <w:p>
      <w:pPr>
        <w:spacing w:after="0"/>
      </w:pPr>
      <w:r>
        <w:drawing>
          <wp:inline xmlns:a="http://schemas.openxmlformats.org/drawingml/2006/main" xmlns:pic="http://schemas.openxmlformats.org/drawingml/2006/picture">
            <wp:extent cx="8961120" cy="5974080"/>
            <wp:docPr id="5" name="Picture 5"/>
            <wp:cNvGraphicFramePr>
              <a:graphicFrameLocks noChangeAspect="1"/>
            </wp:cNvGraphicFramePr>
            <a:graphic>
              <a:graphicData uri="http://schemas.openxmlformats.org/drawingml/2006/picture">
                <pic:pic>
                  <pic:nvPicPr>
                    <pic:cNvPr id="0" name="doc_05_caminos_pruebas.jpg"/>
                    <pic:cNvPicPr/>
                  </pic:nvPicPr>
                  <pic:blipFill>
                    <a:blip r:embed="rId15"/>
                    <a:stretch>
                      <a:fillRect/>
                    </a:stretch>
                  </pic:blipFill>
                  <pic:spPr>
                    <a:xfrm>
                      <a:off x="0" y="0"/>
                      <a:ext cx="8961120" cy="5974080"/>
                    </a:xfrm>
                    <a:prstGeom prst="rect"/>
                  </pic:spPr>
                </pic:pic>
              </a:graphicData>
            </a:graphic>
          </wp:inline>
        </w:drawing>
      </w:r>
    </w:p>
    <w:p>
      <w:pPr>
        <w:sectPr>
          <w:pgSz w:w="15840" w:h="12240" w:orient="landscape"/>
          <w:pgMar w:top="792" w:right="792" w:bottom="792" w:left="792" w:header="720" w:footer="720" w:gutter="0"/>
          <w:cols w:space="720"/>
          <w:docGrid w:linePitch="360"/>
        </w:sectPr>
      </w:pPr>
    </w:p>
    <w:p>
      <w:pPr>
        <w:pStyle w:val="Heading1"/>
      </w:pPr>
      <w:r>
        <w:t>Caminos reporte de cobertura</w:t>
      </w:r>
    </w:p>
    <w:p>
      <w:r>
        <w:t>Captura 6 de 6. Los 16 casos pasaron y el reporte marcó 100 % de sentencias y ramas. Los caminos se comprobaron con los 16 casos enumerados.</w:t>
      </w:r>
    </w:p>
    <w:p>
      <w:pPr>
        <w:spacing w:after="0"/>
      </w:pPr>
      <w:r>
        <w:drawing>
          <wp:inline xmlns:a="http://schemas.openxmlformats.org/drawingml/2006/main" xmlns:pic="http://schemas.openxmlformats.org/drawingml/2006/picture">
            <wp:extent cx="8961120" cy="5974080"/>
            <wp:docPr id="6" name="Picture 6"/>
            <wp:cNvGraphicFramePr>
              <a:graphicFrameLocks noChangeAspect="1"/>
            </wp:cNvGraphicFramePr>
            <a:graphic>
              <a:graphicData uri="http://schemas.openxmlformats.org/drawingml/2006/picture">
                <pic:pic>
                  <pic:nvPicPr>
                    <pic:cNvPr id="0" name="doc_06_caminos_cobertura.jpg"/>
                    <pic:cNvPicPr/>
                  </pic:nvPicPr>
                  <pic:blipFill>
                    <a:blip r:embed="rId16"/>
                    <a:stretch>
                      <a:fillRect/>
                    </a:stretch>
                  </pic:blipFill>
                  <pic:spPr>
                    <a:xfrm>
                      <a:off x="0" y="0"/>
                      <a:ext cx="8961120" cy="5974080"/>
                    </a:xfrm>
                    <a:prstGeom prst="rect"/>
                  </pic:spPr>
                </pic:pic>
              </a:graphicData>
            </a:graphic>
          </wp:inline>
        </w:drawing>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FrancsicoLa/P2-A2.2-Pruebas-de-caja-blanca" TargetMode="External"/><Relationship Id="rId10" Type="http://schemas.openxmlformats.org/officeDocument/2006/relationships/hyperlink" Target="https://github.com/FrancsicoLa/P2-A2.2-Pruebas-de-caja-blanca/commits/main" TargetMode="Externa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