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ContentType="image/png" Extension="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rPr><w:b/></w:rPr><w:t xml:space="preserve">INFORME EJECUTIVO DE INVESTIGACIÓN</w:t></w:r></w:p><w:p><w:r><w:rPr><w:b/></w:rPr><w:t xml:space="preserve">CRIS Victoria — Universidad de Tarapacá</w:t></w:r></w:p><w:p><w:r><w:t/></w:r></w:p><w:p><w:r><w:t xml:space="preserve">Investigador: Francisco Rothhammer Engel</w:t></w:r></w:p><w:p><w:r><w:t xml:space="preserve">Unidad: Instituto de Alta Investigación</w:t></w:r></w:p><w:p><w:r><w:t xml:space="preserve">ORCID: 0000-0001-5228-1180</w:t></w:r></w:p><w:p><w:r><w:t xml:space="preserve">Período de análisis: 2022 – 2026</w:t></w:r></w:p><w:p><w:r><w:t xml:space="preserve">Fecha de snapshot OpenAlex: 25 de mayo de 2026</w:t></w:r></w:p><w:p><w:r><w:t/></w:r></w:p><w:p><w:r><w:rPr><w:b/></w:rPr><w:t xml:space="preserve">RESUMEN EJECUTIVO</w:t></w:r></w:p><w:p><w:r><w:t xml:space="preserve">En el período 2022–2026, el investigador registró 22 publicaciones indexadas, con un índice h de 11 y 428% sobre el promedio mundial (FWCI medio 5.28). Las citas por publicación fueron 11.73; el 81.8% de las obras con cuartil reconocido están en Q1. La producción creció a un ritmo de -38.5% anual. Las áreas dominantes son Medicine (41%) y Biochemistry, Genetics and Molecular Biology (36%). Indicadores de fase 2 no disponibles: top 10% citas (—), colaboración internacional (—).</w:t></w:r></w:p><w:p><w:r><w:t/></w:r></w:p><w:p><w:r><w:rPr><w:b/></w:rPr><w:t xml:space="preserve">1. PRODUCCIÓN CIENTÍFICA</w:t></w:r></w:p><w:p><w:r><w:t xml:space="preserve">1.1 Evolución de la producción anual</w:t></w:r></w:p><w:p><w:r><w:drawing><wp:inline distT="0" distB="0" distL="0" distR="0"><wp:extent cx="6096000" cy="3429000"/><wp:effectExtent l="0" t="0" r="0" b="0"/><wp:docPr id="2" name="Image 2" descr="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age"/><pic:cNvPicPr><a:picLocks noChangeAspect="1" noChangeArrowheads="1"/></pic:cNvPicPr></pic:nvPicPr><pic:blipFill><a:blip r:embed="rId1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6096000" cy="3429000"/></a:xfrm><a:prstGeom prst="rect"><a:avLst/></a:prstGeom><a:noFill/><a:ln><a:noFill/></a:ln></pic:spPr></pic:pic></a:graphicData></a:graphic></wp:inline></w:drawing></w:r></w:p><w:p><w:r><w:t/></w:r></w:p><w:p><w:r><w:t xml:space="preserve">1.2 Distribución por área temática</w:t></w:r></w:p><w:p><w:r><w:drawing><wp:inline distT="0" distB="0" distL="0" distR="0"><wp:extent cx="6096000" cy="3810000"/><wp:effectExtent l="0" t="0" r="0" b="0"/><wp:docPr id="2" name="Image 2" descr="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age"/><pic:cNvPicPr><a:picLocks noChangeAspect="1" noChangeArrowheads="1"/></pic:cNvPicPr></pic:nvPicPr><pic:blipFill><a:blip r:embed="rId2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6096000" cy="3810000"/></a:xfrm><a:prstGeom prst="rect"><a:avLst/></a:prstGeom><a:noFill/><a:ln><a:noFill/></a:ln></pic:spPr></pic:pic></a:graphicData></a:graphic></wp:inline></w:drawing></w:r></w:p><w:p><w:r><w:t/></w:r></w:p><w:p><w:r><w:t xml:space="preserve">1.6 Cuartiles de revistas (SJR / Scimago)</w:t></w:r></w:p><w:p><w:r><w:drawing><wp:inline distT="0" distB="0" distL="0" distR="0"><wp:extent cx="6096000" cy="3429000"/><wp:effectExtent l="0" t="0" r="0" b="0"/><wp:docPr id="2" name="Image 2" descr="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image"/><pic:cNvPicPr><a:picLocks noChangeAspect="1" noChangeArrowheads="1"/></pic:cNvPicPr></pic:nvPicPr><pic:blipFill><a:blip r:embed="rId3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6096000" cy="3429000"/></a:xfrm><a:prstGeom prst="rect"><a:avLst/></a:prstGeom><a:noFill/><a:ln><a:noFill/></a:ln></pic:spPr></pic:pic></a:graphicData></a:graphic></wp:inline></w:drawing></w:r></w:p><w:p><w:r><w:t/></w:r></w:p><w:p><w:r><w:rPr><w:b/></w:rPr><w:t xml:space="preserve">Tabla 1.1 — Obras más citadas del período</w:t></w:r></w:p><w:tbl>
    <w:tblPr><w:tblW w:w="0" w:type="auto"/></w:tblPr>
    <w:tr>
      <w:tc><w:p><w:r><w:t xml:space="preserve">Título</w:t></w:r></w:p></w:tc>
      <w:tc><w:p><w:r><w:t xml:space="preserve">Año</w:t></w:r></w:p></w:tc>
      <w:tc><w:p><w:r><w:t xml:space="preserve">Revista</w:t></w:r></w:p></w:tc>
      <w:tc><w:p><w:r><w:t xml:space="preserve">Cuartil</w:t></w:r></w:p></w:tc>
      <w:tc><w:p><w:r><w:t xml:space="preserve">Citas</w:t></w:r></w:p></w:tc>
      <w:tc><w:p><w:r><w:t xml:space="preserve">FWCI</w:t></w:r></w:p></w:tc>
    </w:tr>
    <w:tr>
      <w:tc><w:p><w:r><w:t xml:space="preserve">Automatic landmarking identifies new loci associated with face morphology and implicates Neanderthal introgression in human nasal shape — https://doi.org/10.1038/s42003-023-04838-7</w:t></w:r></w:p></w:tc>
      <w:tc><w:p><w:r><w:t xml:space="preserve">2023</w:t></w:r></w:p></w:tc>
      <w:tc><w:p><w:r><w:t xml:space="preserve">Communications Biology</w:t></w:r></w:p></w:tc>
      <w:tc><w:p><w:r><w:t xml:space="preserve">Q1</w:t></w:r></w:p></w:tc>
      <w:tc><w:p><w:r><w:t xml:space="preserve">35</w:t></w:r></w:p></w:tc>
      <w:tc><w:p><w:r><w:t xml:space="preserve">5.02</w:t></w:r></w:p></w:tc>
    </w:tr><w:tr>
      <w:tc><w:p><w:r><w:t xml:space="preserve">Disentangling Signatures of Selection Before and After European Colonization in Latin Americans — https://doi.org/10.1093/molbev/msac076</w:t></w:r></w:p></w:tc>
      <w:tc><w:p><w:r><w:t xml:space="preserve">2022</w:t></w:r></w:p></w:tc>
      <w:tc><w:p><w:r><w:t xml:space="preserve">Molecular Biology and Evolution</w:t></w:r></w:p></w:tc>
      <w:tc><w:p><w:r><w:t xml:space="preserve">Q1</w:t></w:r></w:p></w:tc>
      <w:tc><w:p><w:r><w:t xml:space="preserve">33</w:t></w:r></w:p></w:tc>
      <w:tc><w:p><w:r><w:t xml:space="preserve">13.48</w:t></w:r></w:p></w:tc>
    </w:tr><w:tr>
      <w:tc><w:p><w:r><w:t xml:space="preserve">Gallbladder Cancer Risk and Indigenous South American Mapuche Ancestry: Instrumental Variable Analysis Using Ancestry-Informative Markers — https://doi.org/10.3390/cancers15164033</w:t></w:r></w:p></w:tc>
      <w:tc><w:p><w:r><w:t xml:space="preserve">2023</w:t></w:r></w:p></w:tc>
      <w:tc><w:p><w:r><w:t xml:space="preserve">Cancers</w:t></w:r></w:p></w:tc>
      <w:tc><w:p><w:r><w:t xml:space="preserve">Q1</w:t></w:r></w:p></w:tc>
      <w:tc><w:p><w:r><w:t xml:space="preserve">25</w:t></w:r></w:p></w:tc>
      <w:tc><w:p><w:r><w:t xml:space="preserve">7.47</w:t></w:r></w:p></w:tc>
    </w:tr><w:tr>
      <w:tc><w:p><w:r><w:t xml:space="preserve">Clotting factor genes are associated with preeclampsia in high-altitude pregnant women in the Peruvian Andes — https://doi.org/10.1016/j.ajhg.2022.04.014</w:t></w:r></w:p></w:tc>
      <w:tc><w:p><w:r><w:t xml:space="preserve">2022</w:t></w:r></w:p></w:tc>
      <w:tc><w:p><w:r><w:t xml:space="preserve">The American Journal of Human Genetics</w:t></w:r></w:p></w:tc>
      <w:tc><w:p><w:r><w:t xml:space="preserve">Q1</w:t></w:r></w:p></w:tc>
      <w:tc><w:p><w:r><w:t xml:space="preserve">24</w:t></w:r></w:p></w:tc>
      <w:tc><w:p><w:r><w:t xml:space="preserve">3.89</w:t></w:r></w:p></w:tc>
    </w:tr><w:tr>
      <w:tc><w:p><w:r><w:t xml:space="preserve">Ancestral diversity improves discovery and fine-mapping of genetic loci for anthropometric traits—The Hispanic/Latino Anthropometry Consortium — https://doi.org/10.1016/j.xhgg.2022.100099</w:t></w:r></w:p></w:tc>
      <w:tc><w:p><w:r><w:t xml:space="preserve">2022</w:t></w:r></w:p></w:tc>
      <w:tc><w:p><w:r><w:t xml:space="preserve">Human Genetics and Genomics Advances</w:t></w:r></w:p></w:tc>
      <w:tc><w:p><w:r><w:t xml:space="preserve">Q1</w:t></w:r></w:p></w:tc>
      <w:tc><w:p><w:r><w:t xml:space="preserve">24</w:t></w:r></w:p></w:tc>
      <w:tc><w:p><w:r><w:t xml:space="preserve">3.92</w:t></w:r></w:p></w:tc>
    </w:tr><w:tr>
      <w:tc><w:p><w:r><w:t xml:space="preserve">Sodium-calcium exchanger-3 regulates pain “wind-up”: From human psychophysics to spinal mechanisms — https://doi.org/10.1016/j.neuron.2022.05.017</w:t></w:r></w:p></w:tc>
      <w:tc><w:p><w:r><w:t xml:space="preserve">2022</w:t></w:r></w:p></w:tc>
      <w:tc><w:p><w:r><w:t xml:space="preserve">Neuron</w:t></w:r></w:p></w:tc>
      <w:tc><w:p><w:r><w:t xml:space="preserve">Q1</w:t></w:r></w:p></w:tc>
      <w:tc><w:p><w:r><w:t xml:space="preserve">17</w:t></w:r></w:p></w:tc>
      <w:tc><w:p><w:r><w:t xml:space="preserve">2.03</w:t></w:r></w:p></w:tc>
    </w:tr><w:tr>
      <w:tc><w:p><w:r><w:t xml:space="preserve">Development and internal validation of a multifactorial risk prediction model for gallbladder cancer in a high‐incidence country — https://doi.org/10.1002/ijc.34607</w:t></w:r></w:p></w:tc>
      <w:tc><w:p><w:r><w:t xml:space="preserve">2023</w:t></w:r></w:p></w:tc>
      <w:tc><w:p><w:r><w:t xml:space="preserve">International Journal of Cancer</w:t></w:r></w:p></w:tc>
      <w:tc><w:p><w:r><w:t xml:space="preserve">Q1</w:t></w:r></w:p></w:tc>
      <w:tc><w:p><w:r><w:t xml:space="preserve">16</w:t></w:r></w:p></w:tc>
      <w:tc><w:p><w:r><w:t xml:space="preserve">4.70</w:t></w:r></w:p></w:tc>
    </w:tr><w:tr>
      <w:tc><w:p><w:r><w:t xml:space="preserve">Neanderthal introgression in SCN9A impacts mechanical pain sensitivity — https://doi.org/10.1038/s42003-023-05286-z</w:t></w:r></w:p></w:tc>
      <w:tc><w:p><w:r><w:t xml:space="preserve">2023</w:t></w:r></w:p></w:tc>
      <w:tc><w:p><w:r><w:t xml:space="preserve">Communications Biology</w:t></w:r></w:p></w:tc>
      <w:tc><w:p><w:r><w:t xml:space="preserve">Q1</w:t></w:r></w:p></w:tc>
      <w:tc><w:p><w:r><w:t xml:space="preserve">13</w:t></w:r></w:p></w:tc>
      <w:tc><w:p><w:r><w:t xml:space="preserve">3.89</w:t></w:r></w:p></w:tc>
    </w:tr><w:tr>
      <w:tc><w:p><w:r><w:t xml:space="preserve">Historic manioc genomes illuminate maintenance of diversity under long-lived clonal cultivation — https://doi.org/10.1126/science.adq0018</w:t></w:r></w:p></w:tc>
      <w:tc><w:p><w:r><w:t xml:space="preserve">2025</w:t></w:r></w:p></w:tc>
      <w:tc><w:p><w:r><w:t xml:space="preserve">Science</w:t></w:r></w:p></w:tc>
      <w:tc><w:p><w:r><w:t xml:space="preserve">Q1</w:t></w:r></w:p></w:tc>
      <w:tc><w:p><w:r><w:t xml:space="preserve">12</w:t></w:r></w:p></w:tc>
      <w:tc><w:p><w:r><w:t xml:space="preserve">27.71</w:t></w:r></w:p></w:tc>
    </w:tr><w:tr>
      <w:tc><w:p><w:r><w:t xml:space="preserve">PITX2 expression and Neanderthal introgression in HS3ST3A1 contribute to variation in tooth dimensions in modern humans — https://doi.org/10.1016/j.cub.2024.11.027</w:t></w:r></w:p></w:tc>
      <w:tc><w:p><w:r><w:t xml:space="preserve">2024</w:t></w:r></w:p></w:tc>
      <w:tc><w:p><w:r><w:t xml:space="preserve">Current Biology</w:t></w:r></w:p></w:tc>
      <w:tc><w:p><w:r><w:t xml:space="preserve">Q1</w:t></w:r></w:p></w:tc>
      <w:tc><w:p><w:r><w:t xml:space="preserve">11</w:t></w:r></w:p></w:tc>
      <w:tc><w:p><w:r><w:t xml:space="preserve">2.26</w:t></w:r></w:p></w:tc>
    </w:tr>
  </w:tbl><w:p><w:r><w:t/></w:r></w:p><w:p><w:r><w:rPr><w:b/></w:rPr><w:t xml:space="preserve">APÉNDICE A — METODOLOGÍA Y FUENTES</w:t></w:r></w:p><w:p><w:r><w:t xml:space="preserve">Fuentes: OpenAlex (métricas de obra y autor), Scimago Journal Rank 2025 (cuartiles por ISSN), directorio UTA (data.json). FWCI: media de obras elegibles (excluye año en curso). Período adaptativo de 5 años con guarda de densidad mínima (5 publicaciones). Figuras generadas con QuickChart.</w:t></w:r></w:p>
    <w:sectPr><w:pgSz w:w="11906" w:h="16838"/><w:pgMar w:top="1440" w:right="1440" w:bottom="1440" w:left="1440"/>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_generated_1.png"/><Relationship Id="rId2" Type="http://schemas.openxmlformats.org/officeDocument/2006/relationships/image" Target="media/image_generated_2.png"/><Relationship Id="rId3" Type="http://schemas.openxmlformats.org/officeDocument/2006/relationships/image" Target="media/image_generated_3.png"/></Relationships>
</file>