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92" w:lineRule="auto"/>
        <w:ind w:firstLine="1606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GUÍA DE TALLER N° 6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606" w:right="1606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“INSTRUMENTAL DE TRATAMIENTO PERIODONTAL QUIRÚRGICO”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756285</wp:posOffset>
            </wp:positionH>
            <wp:positionV relativeFrom="paragraph">
              <wp:posOffset>121920</wp:posOffset>
            </wp:positionV>
            <wp:extent cx="5485130" cy="2604770"/>
            <wp:effectExtent b="0" l="0" r="0" t="0"/>
            <wp:wrapTopAndBottom distB="0" distT="0"/>
            <wp:docPr descr="https://www.propdental.es/wp-content/uploads/2013/04/osteoplastia-regularizacion-hueso.jpg" id="37" name="image2.jpg"/>
            <a:graphic>
              <a:graphicData uri="http://schemas.openxmlformats.org/drawingml/2006/picture">
                <pic:pic>
                  <pic:nvPicPr>
                    <pic:cNvPr descr="https://www.propdental.es/wp-content/uploads/2013/04/osteoplastia-regularizacion-hueso.jpg" id="0" name="image2.jpg"/>
                    <pic:cNvPicPr preferRelativeResize="0"/>
                  </pic:nvPicPr>
                  <pic:blipFill>
                    <a:blip r:embed="rId7"/>
                    <a:srcRect b="106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604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87" w:lineRule="auto"/>
        <w:ind w:right="121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ASIGNATURA: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2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Asistencia en Periodoncia (EOS4121)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left="0" w:right="127" w:firstLine="0"/>
        <w:jc w:val="right"/>
        <w:rPr/>
      </w:pPr>
      <w:r w:rsidDel="00000000" w:rsidR="00000000" w:rsidRPr="00000000">
        <w:rPr>
          <w:rtl w:val="0"/>
        </w:rPr>
        <w:t xml:space="preserve">DIRIGIDO A: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Estudiantes Carrera Técnico Superior en Odontología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left="0" w:right="113" w:firstLine="0"/>
        <w:jc w:val="right"/>
        <w:rPr>
          <w:b w:val="0"/>
        </w:rPr>
      </w:pPr>
      <w:r w:rsidDel="00000000" w:rsidR="00000000" w:rsidRPr="00000000">
        <w:rPr>
          <w:rtl w:val="0"/>
        </w:rPr>
        <w:t xml:space="preserve">REQUISITOS</w:t>
      </w:r>
      <w:r w:rsidDel="00000000" w:rsidR="00000000" w:rsidRPr="00000000">
        <w:rPr>
          <w:b w:val="0"/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4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footerReference r:id="rId9" w:type="default"/>
          <w:pgSz w:h="15840" w:w="12240" w:orient="portrait"/>
          <w:pgMar w:bottom="880" w:top="1440" w:left="600" w:right="600" w:header="708" w:footer="698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requisitos.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before="92" w:lineRule="auto"/>
        <w:ind w:firstLine="1606"/>
        <w:rPr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11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Dentro del tratamiento de las enfermedades periodontales, se encuentran las modalidades de tratamiento quirúrgico y no quirúrgico, que se realizará dependiendo del diagnóstico y las características individuales de cada paciente.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11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una de las modalidades de tratamiento periodontal existen diferentes tipos de instrumentos los cuales tienen características específicas y usos determinados dentro de los procedimientos.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11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alumno debe ser capaz de identificar y manipular los diferentes elementos utilizados en el tratamiento periodontal quirúrgico.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ind w:left="120" w:right="0" w:firstLine="0"/>
        <w:jc w:val="both"/>
        <w:rPr/>
      </w:pPr>
      <w:r w:rsidDel="00000000" w:rsidR="00000000" w:rsidRPr="00000000">
        <w:rPr>
          <w:rtl w:val="0"/>
        </w:rPr>
        <w:t xml:space="preserve">Competencias de Especialidad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111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Facilitar la realización de los procedimientos terapéuticos y de las técnicas de apoyo diagnóstico según especialidad odontológica e instrucciones del profesional a cargo.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ind w:left="120" w:right="0" w:firstLine="0"/>
        <w:jc w:val="both"/>
        <w:rPr/>
      </w:pPr>
      <w:r w:rsidDel="00000000" w:rsidR="00000000" w:rsidRPr="00000000">
        <w:rPr>
          <w:rtl w:val="0"/>
        </w:rPr>
        <w:t xml:space="preserve">Unidades de Competencias Asociadas a la Asignatura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111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Colaborar en los procedimientos terapéuticos según especialidad de Periodoncia siguiendo indicaciones del profesional.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11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Preparar el campo operatorio en concordancia con la especialidad de Periodoncia y sus protocolos clínicos.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ind w:firstLine="1606"/>
        <w:rPr/>
      </w:pPr>
      <w:r w:rsidDel="00000000" w:rsidR="00000000" w:rsidRPr="00000000">
        <w:rPr>
          <w:rtl w:val="0"/>
        </w:rPr>
        <w:t xml:space="preserve">MARCO DE REFERENCIA TEÓRICO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11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base del éxito del tratamiento periodontal es la eliminación del biofilm supra y subgingival, para de esta manera lograr establecer una superficie radicular lisa y compatible con salud en la que se logre una nueva unión epitelial.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126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algunos casos el acceso a la lesión periodontal es complejo y no logra realizarse por completo la instrumentación a través del saco periodontal, por lo que es imposible dejar pulida toda la superficie radicular, para estas situaciones se utilizan procedimientos quirúrgicos que facilitan el acceso a la lesión para de esta forma lograr la instrumentación de forma adecuada.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casos que requieren este tipo de acceso son: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Sacos periodontales profundos, más de 7mm.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Lesiones de furca.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60" w:top="1440" w:left="600" w:right="600" w:header="708" w:footer="698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Defectos óseos verticales.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instrumental que se requiere para realizar procedimientos de raspaje y pulido radicular a campo abierto es el siguiente: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1"/>
        </w:tabs>
        <w:spacing w:after="0" w:before="0" w:line="240" w:lineRule="auto"/>
        <w:ind w:left="840" w:right="202" w:hanging="36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MANGO Y HOJA DE BISTURÍ: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realizar la incisión para lograr el acceso, existen dife- rentes tipos de mango y de hoja: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660908</wp:posOffset>
            </wp:positionH>
            <wp:positionV relativeFrom="paragraph">
              <wp:posOffset>528914</wp:posOffset>
            </wp:positionV>
            <wp:extent cx="3489325" cy="447662"/>
            <wp:effectExtent b="0" l="0" r="0" t="0"/>
            <wp:wrapNone/>
            <wp:docPr descr="https://www.dentalcost.es/1279-thickbox_default/mango-bisturi-plano-carl-martin.jpg" id="39" name="image1.jpg"/>
            <a:graphic>
              <a:graphicData uri="http://schemas.openxmlformats.org/drawingml/2006/picture">
                <pic:pic>
                  <pic:nvPicPr>
                    <pic:cNvPr descr="https://www.dentalcost.es/1279-thickbox_default/mango-bisturi-plano-carl-martin.jpg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447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65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Mango de bisturí Bard Parker #3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" w:lineRule="auto"/>
        <w:ind w:left="2825" w:right="2785" w:hanging="38.00000000000011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87955" cy="378459"/>
            <wp:effectExtent b="0" l="0" r="0" t="0"/>
            <wp:docPr descr="https://www.dentalcost.es/1029-large_default/hoja-bisturi-11-carl-martin.jpg" id="41" name="image13.jpg"/>
            <a:graphic>
              <a:graphicData uri="http://schemas.openxmlformats.org/drawingml/2006/picture">
                <pic:pic>
                  <pic:nvPicPr>
                    <pic:cNvPr descr="https://www.dentalcost.es/1029-large_default/hoja-bisturi-11-carl-martin.jpg"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7955" cy="378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Hoja de bisturí #11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58783" cy="367538"/>
            <wp:effectExtent b="0" l="0" r="0" t="0"/>
            <wp:docPr descr="https://www.dentalcost.es/1028-thickbox_default/hoja-bisturi-15-carl-martin.jpg" id="43" name="image11.jpg"/>
            <a:graphic>
              <a:graphicData uri="http://schemas.openxmlformats.org/drawingml/2006/picture">
                <pic:pic>
                  <pic:nvPicPr>
                    <pic:cNvPr descr="https://www.dentalcost.es/1028-thickbox_default/hoja-bisturi-15-carl-martin.jpg"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8783" cy="36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Hoja de bisturí #15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42363" cy="667385"/>
            <wp:effectExtent b="0" l="0" r="0" t="0"/>
            <wp:docPr descr="https://www.dentalcost.es/1317-large_default/hoja-bisturi-12-carl-martin.jpg" id="42" name="image17.jpg"/>
            <a:graphic>
              <a:graphicData uri="http://schemas.openxmlformats.org/drawingml/2006/picture">
                <pic:pic>
                  <pic:nvPicPr>
                    <pic:cNvPr descr="https://www.dentalcost.es/1317-large_default/hoja-bisturi-12-carl-martin.jpg" id="0" name="image1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2363" cy="667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Hoja de bisturí #12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1"/>
        </w:tabs>
        <w:spacing w:after="0" w:before="422" w:line="240" w:lineRule="auto"/>
        <w:ind w:left="840" w:right="381" w:hanging="36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LEGRA O PERIOSTÓTOMO: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utiliza para realizar el levantamiento del colgajo, el colgajo debe ser de espesor total o mucoperióstico para lograr acceder completamente a la lesión.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3219450</wp:posOffset>
            </wp:positionH>
            <wp:positionV relativeFrom="paragraph">
              <wp:posOffset>1574158</wp:posOffset>
            </wp:positionV>
            <wp:extent cx="3661143" cy="225551"/>
            <wp:effectExtent b="0" l="0" r="0" t="0"/>
            <wp:wrapTopAndBottom distB="0" distT="0"/>
            <wp:docPr descr="http://grucom.es/imagenes/productos/3256a.jpg" id="38" name="image4.jpg"/>
            <a:graphic>
              <a:graphicData uri="http://schemas.openxmlformats.org/drawingml/2006/picture">
                <pic:pic>
                  <pic:nvPicPr>
                    <pic:cNvPr descr="http://grucom.es/imagenes/productos/3256a.jpg"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1143" cy="2255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76200</wp:posOffset>
            </wp:positionH>
            <wp:positionV relativeFrom="paragraph">
              <wp:posOffset>236720</wp:posOffset>
            </wp:positionV>
            <wp:extent cx="2867020" cy="1159097"/>
            <wp:effectExtent b="0" l="0" r="0" t="0"/>
            <wp:wrapTopAndBottom distB="0" distT="0"/>
            <wp:docPr descr="https://dvd-dental.com/media/catalog/product/cache/1/image/700x/9df78eab33525d08d6e5fb8d27136e95/l/e/legra-williger-r_s.jpg" id="52" name="image7.jpg"/>
            <a:graphic>
              <a:graphicData uri="http://schemas.openxmlformats.org/drawingml/2006/picture">
                <pic:pic>
                  <pic:nvPicPr>
                    <pic:cNvPr descr="https://dvd-dental.com/media/catalog/product/cache/1/image/700x/9df78eab33525d08d6e5fb8d27136e95/l/e/legra-williger-r_s.jpg"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0" cy="11590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60" w:top="1440" w:left="600" w:right="600" w:header="708" w:footer="69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1"/>
        </w:tabs>
        <w:spacing w:after="0" w:before="0" w:line="240" w:lineRule="auto"/>
        <w:ind w:left="840" w:right="601" w:hanging="36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CURETAS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Luego de acceder a la lesión se realiza el pulido radicular con curetas, depen- diendo de la zona a tratar se utiliza la cureta específica.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1951599</wp:posOffset>
            </wp:positionH>
            <wp:positionV relativeFrom="paragraph">
              <wp:posOffset>176051</wp:posOffset>
            </wp:positionV>
            <wp:extent cx="3194662" cy="2154174"/>
            <wp:effectExtent b="0" l="0" r="0" t="0"/>
            <wp:wrapTopAndBottom distB="0" distT="0"/>
            <wp:docPr descr="http://grucom.es/imagenes/productos/2606a.jpg" id="36" name="image12.jpg"/>
            <a:graphic>
              <a:graphicData uri="http://schemas.openxmlformats.org/drawingml/2006/picture">
                <pic:pic>
                  <pic:nvPicPr>
                    <pic:cNvPr descr="http://grucom.es/imagenes/productos/2606a.jpg" id="0" name="image1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4662" cy="21541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1"/>
        </w:tabs>
        <w:spacing w:after="0" w:before="0" w:line="240" w:lineRule="auto"/>
        <w:ind w:left="840" w:right="169" w:hanging="36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 AGUJAS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Luego de terminar el pulido radicular se procede a reposicionar el colgajo y suturarlo.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2038350</wp:posOffset>
            </wp:positionH>
            <wp:positionV relativeFrom="paragraph">
              <wp:posOffset>178415</wp:posOffset>
            </wp:positionV>
            <wp:extent cx="2956554" cy="1751838"/>
            <wp:effectExtent b="0" l="0" r="0" t="0"/>
            <wp:wrapTopAndBottom distB="0" distT="0"/>
            <wp:docPr descr="http://bodegadental.com/tienda/images/source/P9085162.jpg" id="47" name="image16.jpg"/>
            <a:graphic>
              <a:graphicData uri="http://schemas.openxmlformats.org/drawingml/2006/picture">
                <pic:pic>
                  <pic:nvPicPr>
                    <pic:cNvPr descr="http://bodegadental.com/tienda/images/source/P9085162.jpg" id="0" name="image1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6554" cy="1751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1"/>
        </w:tabs>
        <w:spacing w:after="0" w:before="222" w:line="240" w:lineRule="auto"/>
        <w:ind w:left="840" w:right="151" w:hanging="36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SEPARADORES: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Elementos utilizados para separar tejidos y colgajos y lograr un fácil acceso y visibilidad a la zona de trabajo durante la instrumentación.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48050" cy="656971"/>
            <wp:effectExtent b="0" l="0" r="0" t="0"/>
            <wp:docPr descr="https://www.dentalcost.es/2011-large_default/separador-minnesota-masters.jpg" id="49" name="image18.jpg"/>
            <a:graphic>
              <a:graphicData uri="http://schemas.openxmlformats.org/drawingml/2006/picture">
                <pic:pic>
                  <pic:nvPicPr>
                    <pic:cNvPr descr="https://www.dentalcost.es/2011-large_default/separador-minnesota-masters.jpg" id="0" name="image1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56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Separador de Minnesota.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493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60" w:top="1440" w:left="600" w:right="600" w:header="708" w:footer="698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80336" cy="1327784"/>
            <wp:effectExtent b="0" l="0" r="0" t="0"/>
            <wp:docPr descr="http://distribuidorapasteur.com.mx/tienda/images/separadordefarabeufa5x5.jpg" id="48" name="image5.jpg"/>
            <a:graphic>
              <a:graphicData uri="http://schemas.openxmlformats.org/drawingml/2006/picture">
                <pic:pic>
                  <pic:nvPicPr>
                    <pic:cNvPr descr="http://distribuidorapasteur.com.mx/tienda/images/separadordefarabeufa5x5.jpg" id="0" name="image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0336" cy="1327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Separador de Farabeuf.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1"/>
        </w:tabs>
        <w:spacing w:after="0" w:before="92" w:line="240" w:lineRule="auto"/>
        <w:ind w:left="840" w:right="320" w:hanging="36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TIJERAS: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Existen diferentes tipos de tijeras, algunas se utilizan para corte de tejido blando y otras para corte de hilos de sutura.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116738</wp:posOffset>
            </wp:positionH>
            <wp:positionV relativeFrom="paragraph">
              <wp:posOffset>178806</wp:posOffset>
            </wp:positionV>
            <wp:extent cx="2464974" cy="1028033"/>
            <wp:effectExtent b="0" l="0" r="0" t="0"/>
            <wp:wrapTopAndBottom distB="0" distT="0"/>
            <wp:docPr descr="http://www.sanhigia.com/images/23122_863_16.jpg" id="50" name="image10.jpg"/>
            <a:graphic>
              <a:graphicData uri="http://schemas.openxmlformats.org/drawingml/2006/picture">
                <pic:pic>
                  <pic:nvPicPr>
                    <pic:cNvPr descr="http://www.sanhigia.com/images/23122_863_16.jpg" id="0" name="image1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4974" cy="10280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782127" cy="873442"/>
            <wp:effectExtent b="0" l="0" r="0" t="0"/>
            <wp:docPr descr="http://bodegadental.com/tienda/images/cache/P9065106.580.jpg" id="51" name="image6.jpg"/>
            <a:graphic>
              <a:graphicData uri="http://schemas.openxmlformats.org/drawingml/2006/picture">
                <pic:pic>
                  <pic:nvPicPr>
                    <pic:cNvPr descr="http://bodegadental.com/tienda/images/cache/P9065106.580.jpg" id="0" name="image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2127" cy="873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Además del instrumental anterior se utiliza el instrumental básico de examen periodontal, jeringas de irrigación, gasas estériles, sutura.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728062</wp:posOffset>
            </wp:positionH>
            <wp:positionV relativeFrom="paragraph">
              <wp:posOffset>662980</wp:posOffset>
            </wp:positionV>
            <wp:extent cx="2641964" cy="1036129"/>
            <wp:effectExtent b="0" l="0" r="0" t="0"/>
            <wp:wrapTopAndBottom distB="0" distT="0"/>
            <wp:docPr descr="http://dentalgana.cl/wp-content/uploads/2014/05/Vicryl1.png" id="40" name="image14.png"/>
            <a:graphic>
              <a:graphicData uri="http://schemas.openxmlformats.org/drawingml/2006/picture">
                <pic:pic>
                  <pic:nvPicPr>
                    <pic:cNvPr descr="http://dentalgana.cl/wp-content/uploads/2014/05/Vicryl1.png"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1964" cy="1036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3498846</wp:posOffset>
            </wp:positionH>
            <wp:positionV relativeFrom="paragraph">
              <wp:posOffset>232514</wp:posOffset>
            </wp:positionV>
            <wp:extent cx="2710788" cy="1481327"/>
            <wp:effectExtent b="0" l="0" r="0" t="0"/>
            <wp:wrapTopAndBottom distB="0" distT="0"/>
            <wp:docPr descr="http://odontologiavirtual.unicartagena.edu.co/FACULTAD_DE_ODONTOLOGIA/Instrumental_en_Operatoria_Dental_files/diagnostico.jpg" id="53" name="image9.jpg"/>
            <a:graphic>
              <a:graphicData uri="http://schemas.openxmlformats.org/drawingml/2006/picture">
                <pic:pic>
                  <pic:nvPicPr>
                    <pic:cNvPr descr="http://odontologiavirtual.unicartagena.edu.co/FACULTAD_DE_ODONTOLOGIA/Instrumental_en_Operatoria_Dental_files/diagnostico.jpg" id="0" name="image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788" cy="14813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2238466</wp:posOffset>
            </wp:positionV>
            <wp:extent cx="2690139" cy="1414462"/>
            <wp:effectExtent b="0" l="0" r="0" t="0"/>
            <wp:wrapTopAndBottom distB="0" distT="0"/>
            <wp:docPr descr="http://kdental.es/media/catalog/product/cache/1/image/9df78eab33525d08d6e5fb8d27136e95/m/i/miraject-endo-rinse-lavado-canal-co-01.jpg" id="44" name="image15.jpg"/>
            <a:graphic>
              <a:graphicData uri="http://schemas.openxmlformats.org/drawingml/2006/picture">
                <pic:pic>
                  <pic:nvPicPr>
                    <pic:cNvPr descr="http://kdental.es/media/catalog/product/cache/1/image/9df78eab33525d08d6e5fb8d27136e95/m/i/miraject-endo-rinse-lavado-canal-co-01.jpg" id="0" name="image1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139" cy="14144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3857625</wp:posOffset>
            </wp:positionH>
            <wp:positionV relativeFrom="paragraph">
              <wp:posOffset>1952599</wp:posOffset>
            </wp:positionV>
            <wp:extent cx="2505777" cy="1721643"/>
            <wp:effectExtent b="0" l="0" r="0" t="0"/>
            <wp:wrapTopAndBottom distB="0" distT="0"/>
            <wp:docPr descr="http://4.bp.blogspot.com/-ozjPmTxroMM/UMZanRYa1vI/AAAAAAAAALw/Cay5H7Th9IQ/s1600/gasa.jpg" id="45" name="image3.jpg"/>
            <a:graphic>
              <a:graphicData uri="http://schemas.openxmlformats.org/drawingml/2006/picture">
                <pic:pic>
                  <pic:nvPicPr>
                    <pic:cNvPr descr="http://4.bp.blogspot.com/-ozjPmTxroMM/UMZanRYa1vI/AAAAAAAAALw/Cay5H7Th9IQ/s1600/gasa.jpg" id="0" name="image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777" cy="17216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60" w:top="1440" w:left="600" w:right="600" w:header="708" w:footer="69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before="92" w:lineRule="auto"/>
        <w:ind w:right="1602" w:firstLine="1606"/>
        <w:rPr/>
      </w:pPr>
      <w:r w:rsidDel="00000000" w:rsidR="00000000" w:rsidRPr="00000000">
        <w:rPr>
          <w:rtl w:val="0"/>
        </w:rPr>
        <w:t xml:space="preserve">Taller N° 6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10.0" w:type="dxa"/>
        <w:jc w:val="left"/>
        <w:tblInd w:w="15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18"/>
        <w:gridCol w:w="2499"/>
        <w:gridCol w:w="2609"/>
        <w:gridCol w:w="2473"/>
        <w:gridCol w:w="11"/>
        <w:tblGridChange w:id="0">
          <w:tblGrid>
            <w:gridCol w:w="2718"/>
            <w:gridCol w:w="2499"/>
            <w:gridCol w:w="2609"/>
            <w:gridCol w:w="2473"/>
            <w:gridCol w:w="11"/>
          </w:tblGrid>
        </w:tblGridChange>
      </w:tblGrid>
      <w:tr>
        <w:trPr>
          <w:trHeight w:val="617" w:hRule="atLeast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Taller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INSTRUMENTAL DE TRATAMIENTO PERIODONTAL QUIRÚRGICO</w:t>
            </w:r>
          </w:p>
        </w:tc>
      </w:tr>
      <w:tr>
        <w:trPr>
          <w:trHeight w:val="1414" w:hRule="atLeast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para Taller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Previa lectura de la guía y de información adicional respecto del tema. Uniforme completo, presentación personal acorde al taller y uso de elementos de bioseguridad respectivos.</w:t>
            </w:r>
          </w:p>
        </w:tc>
      </w:tr>
      <w:tr>
        <w:trPr>
          <w:trHeight w:val="617" w:hRule="atLeast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 minutos</w:t>
            </w:r>
          </w:p>
        </w:tc>
      </w:tr>
      <w:tr>
        <w:trPr>
          <w:trHeight w:val="620" w:hRule="atLeast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N° estudiantes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Máximo 12</w:t>
            </w:r>
          </w:p>
        </w:tc>
      </w:tr>
      <w:tr>
        <w:trPr>
          <w:trHeight w:val="600" w:hRule="atLeast"/>
        </w:trPr>
        <w:tc>
          <w:tcPr>
            <w:vMerge w:val="restart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del Taller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32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Procedimentales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59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Actitudinales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48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Conceptuales</w:t>
            </w:r>
          </w:p>
        </w:tc>
      </w:tr>
      <w:tr>
        <w:trPr>
          <w:trHeight w:val="4681" w:hRule="atLeast"/>
        </w:trPr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0" w:right="65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los instrumentos utilizados en el tratamiento periodontal quirúrgico, de acuerdo al protocolo.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0" w:right="65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0" w:right="65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Realizar arsenaleo durante un procedimiento de tratamiento periodontal quirúrgico.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9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Cumplir con las normas de convivencia adecuadas dentro de la sala de taller.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9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9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Puntualidad en las actividades clínicas.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9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9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Rigurosidad en la aplicación de normas de bioseguridad en el ambiente clínico.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9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9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Muestra precisión en el arsenaleo durante procedimientos clínicos.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9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9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Mantener orden dentro de la sala taller.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9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9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Portar uniforme clínico completo.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80" w:right="6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Identificar los instrumentos utilizados en los procedimientos de tratamiento periodontal quirúrgico y sus funciones.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80" w:right="6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00" w:hRule="atLeast"/>
        </w:trPr>
        <w:tc>
          <w:tcPr>
            <w:gridSpan w:val="2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47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Estación o Escenario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2060" w:right="2057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</w:tr>
      <w:tr>
        <w:trPr>
          <w:trHeight w:val="8027" w:hRule="atLeast"/>
        </w:trPr>
        <w:tc>
          <w:tcPr>
            <w:gridSpan w:val="2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8" w:right="64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Sala de simulación clínica representando un Box odontológico con todos los elementos necesarios para la atención de un paciente.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Estación 1. Identificación de instrumentos.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Mesa con los diferentes instrumentos utilizados en el tratamiento periodontal quirúrgico.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Estación 2. Arsenaleo de tratamiento periodontal quirúrgico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Sillón dental, mesa de mayo, instrumental de tratamiento periodontal quirúrgico.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Estación 3: Dibujo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Mesa, cartulina y plumones.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80" w:right="68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docente a cargo realizará una introducción breve sobre los procedimientos de tratamiento periodontal quirúrgico, además hará una retroalimentación de la guía con los alumnos.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Luego, mostrará a los estudiantes el instrumental utilizado en los procedimientos de tratamiento periodontal quirúrgico y explicará sus usos y características, además indicará la forma de realizar el arsenaleo durante el procedimiento de cirugía periodontal.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8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estudiantes se dividirán en 3 grupos que irán a cada estación, para luego rotar.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8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Estación 1: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estudiantes tomarán los instrumentos e identificarán las características y uso de cada uno.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Estación 2: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estudiantes prepararán todo el instrumental necesario para la realización de un tratamiento periodontal quirúrgico y simularán realizar el arsenaleo de dicho procedimiento.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Estación 3: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Cada grupo realizará en su cartulina un dibujo de los instrumentos para un tratamiento quirúrgico, indicando las características de cada uno, y luego la presentarán a sus compañeros.</w:t>
            </w:r>
          </w:p>
        </w:tc>
      </w:tr>
    </w:tbl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  <w:sectPr>
          <w:type w:val="nextPage"/>
          <w:pgSz w:h="15840" w:w="12240" w:orient="portrait"/>
          <w:pgMar w:bottom="960" w:top="1440" w:left="600" w:right="600" w:header="708" w:footer="69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31.0" w:type="dxa"/>
        <w:jc w:val="left"/>
        <w:tblInd w:w="15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7"/>
        <w:gridCol w:w="2576"/>
        <w:gridCol w:w="5248"/>
        <w:tblGridChange w:id="0">
          <w:tblGrid>
            <w:gridCol w:w="2807"/>
            <w:gridCol w:w="2576"/>
            <w:gridCol w:w="5248"/>
          </w:tblGrid>
        </w:tblGridChange>
      </w:tblGrid>
      <w:tr>
        <w:trPr>
          <w:trHeight w:val="158" w:hRule="atLeast"/>
        </w:trPr>
        <w:tc>
          <w:tcPr>
            <w:gridSpan w:val="2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64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6" w:hRule="atLeast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 del Docente</w:t>
            </w:r>
          </w:p>
        </w:tc>
      </w:tr>
      <w:tr>
        <w:trPr>
          <w:trHeight w:val="4852" w:hRule="atLeast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78" w:right="578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Sillón dental (2). Mesas de mayo (3).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56"/>
                <w:tab w:val="left" w:pos="1564"/>
                <w:tab w:val="left" w:pos="2460"/>
              </w:tabs>
              <w:spacing w:after="0" w:before="0" w:line="240" w:lineRule="auto"/>
              <w:ind w:left="78" w:right="67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Mango</w:t>
              <w:tab/>
              <w:t xml:space="preserve">de</w:t>
              <w:tab/>
              <w:t xml:space="preserve">bisturí</w:t>
              <w:tab/>
              <w:t xml:space="preserve">#3 (12).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297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Hojas de bisturí # 11 y 15 (12).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8" w:right="67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Legras (12). Separadores de minessota (12).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Curetas (12).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Gasas (1 paquete)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Guantes estériles (12).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297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Bata quirúrgica (12). Pinzas para tejido (12)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297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Portaagujas (12).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Sutura (1 caja).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Tijeras (12).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80" w:right="6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Entregar instrucciones, organizar el taller y realizar una serie de interrogantes sobre los conocimientos del tratamiento periodontal quirúrgico y sobre la guía al iniciar el taller para activar conocimientos previos.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7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Luego, guía y retroalimenta a los estudiantes durante la realización de las actividades, enfatizando en el protocolo que debe seguirse para la realización de un procedimiento de tratamiento periodontal quirúrgico.</w:t>
            </w:r>
          </w:p>
        </w:tc>
      </w:tr>
      <w:tr>
        <w:trPr>
          <w:trHeight w:val="989" w:hRule="atLeast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78" w:right="1431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 Formativa.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80" w:right="66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Cada estudiante debe tener la capacidad de reconocer el instrumental utilizado en los procedimientos de tratamiento periodontal quirúrgico y sus funciones de arsenalear dichos procedimientos.</w:t>
            </w:r>
          </w:p>
        </w:tc>
      </w:tr>
    </w:tbl>
    <w:p w:rsidR="00000000" w:rsidDel="00000000" w:rsidP="00000000" w:rsidRDefault="00000000" w:rsidRPr="00000000" w14:paraId="000000CB">
      <w:pPr>
        <w:jc w:val="both"/>
        <w:rPr>
          <w:sz w:val="24"/>
          <w:szCs w:val="24"/>
        </w:rPr>
        <w:sectPr>
          <w:type w:val="nextPage"/>
          <w:pgSz w:h="15840" w:w="12240" w:orient="portrait"/>
          <w:pgMar w:bottom="880" w:top="1440" w:left="600" w:right="600" w:header="708" w:footer="69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19" w:lineRule="auto"/>
        <w:ind w:left="1606" w:right="1605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ANEXOS: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91" w:line="321" w:lineRule="auto"/>
        <w:ind w:left="4174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Pauta de evaluación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20" w:right="873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alumno: Fecha:</w:t>
      </w:r>
    </w:p>
    <w:tbl>
      <w:tblPr>
        <w:tblStyle w:val="Table3"/>
        <w:tblW w:w="10352.0" w:type="dxa"/>
        <w:jc w:val="left"/>
        <w:tblInd w:w="1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9"/>
        <w:gridCol w:w="567"/>
        <w:gridCol w:w="569"/>
        <w:gridCol w:w="567"/>
        <w:tblGridChange w:id="0">
          <w:tblGrid>
            <w:gridCol w:w="8649"/>
            <w:gridCol w:w="567"/>
            <w:gridCol w:w="569"/>
            <w:gridCol w:w="567"/>
          </w:tblGrid>
        </w:tblGridChange>
      </w:tblGrid>
      <w:tr>
        <w:trPr>
          <w:trHeight w:val="330" w:hRule="atLeast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7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INDICADORES PRESENTACIÓN PERSONAL (20%)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6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8" w:right="101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8" w:right="112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NC</w:t>
            </w:r>
          </w:p>
        </w:tc>
      </w:tr>
      <w:tr>
        <w:trPr>
          <w:trHeight w:val="330" w:hRule="atLeast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presenta con tenida clínica completa impecable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8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5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396" w:hRule="atLeast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presenta con uñas cortas sin esmalte, sin anillos, pulseras, piercing ni aros.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8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5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330" w:hRule="atLeast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presenta con cabello tomado y ordenado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8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5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328" w:hRule="atLeast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PRESENTACIÓN PERSONAL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51.0" w:type="dxa"/>
        <w:jc w:val="left"/>
        <w:tblInd w:w="1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89"/>
        <w:gridCol w:w="509"/>
        <w:gridCol w:w="641"/>
        <w:gridCol w:w="612"/>
        <w:tblGridChange w:id="0">
          <w:tblGrid>
            <w:gridCol w:w="8589"/>
            <w:gridCol w:w="509"/>
            <w:gridCol w:w="641"/>
            <w:gridCol w:w="612"/>
          </w:tblGrid>
        </w:tblGridChange>
      </w:tblGrid>
      <w:tr>
        <w:trPr>
          <w:trHeight w:val="328" w:hRule="atLeast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INDICADORES DE PROCEDIMIENTO GENERAL DE TALLER (20%)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45" w:right="137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43" w:right="133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NC</w:t>
            </w:r>
          </w:p>
        </w:tc>
      </w:tr>
      <w:tr>
        <w:trPr>
          <w:trHeight w:val="330" w:hRule="atLeast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 lavado de manos al inicio del taller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395" w:hRule="atLeast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 barreras de protección (guantes, mascarilla, gorro)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537" w:hRule="atLeast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Limpia y desinfecta el área clínica de acuerdo a la normativa vigente (sillón dental, unidad de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08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agua, lámpara, braquet)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563" w:hRule="atLeast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 el funcionamiento del equipamiento e instrumental Odontológico (Sillón dental, uni-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35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 de agua, instrumental dinámico, etc)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330" w:hRule="atLeast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lava las manos antes de la atención clínica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328" w:hRule="atLeast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 barreras de protección (guantes, mascarilla, gorro, antiparras)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553" w:hRule="atLeast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Arma el campo clínico para la atención del paciente (braquet completo más vaso, eyector y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25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pechera)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278" w:hRule="atLeast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7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PROCEDIMIENTO GENERAL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7" w:hRule="atLeast"/>
        </w:trPr>
        <w:tc>
          <w:tcPr>
            <w:gridSpan w:val="4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7" w:hRule="atLeast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7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INDICADORES DE PROCEDIMIENTO ESPECÍFICO DEL TALLER (60%)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45" w:right="137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43" w:right="133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NC</w:t>
            </w:r>
          </w:p>
        </w:tc>
      </w:tr>
      <w:tr>
        <w:trPr>
          <w:trHeight w:val="335" w:hRule="atLeast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Reconoce los instrumentos e insumos utilizados en el tratamiento periodontal quirúrgico.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554" w:hRule="atLeast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Prepara el campo en orden con el instrumental necesario para la realización de un procedi-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25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miento de tratamiento periodontal quirúrgico.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407" w:hRule="atLeast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Arsenalea procedimiento de tratamiento periodontal quirúrgico según las indicaciones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381" w:hRule="atLeast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Trabaja de forma ordenada y mantiene limpio el sitio de trabajo.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597" w:hRule="atLeast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Limpia y desinfecta el área clínica según la normativa vigente (sillón dental, unidad de agua,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lámpara, braquet) y desecha las barreras de protección utilizadas al finalizar la actividad.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546" w:hRule="atLeast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 finalizar la jornada de trabajo, dejar limpio y ordenado el puesto de trabajo, despichar y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18" w:lineRule="auto"/>
              <w:ind w:left="107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apagar el compresor.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" w:right="0" w:firstLine="0"/>
              <w:jc w:val="center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330" w:hRule="atLeast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PROCEDIMIENTO ESPECIFICO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pos="3231"/>
          <w:tab w:val="left" w:pos="7854"/>
        </w:tabs>
        <w:spacing w:before="93" w:lineRule="auto"/>
        <w:ind w:left="1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C: competente</w:t>
        <w:tab/>
        <w:t xml:space="preserve">MC: medianamente competente</w:t>
        <w:tab/>
        <w:t xml:space="preserve">NC: no competente</w:t>
      </w:r>
    </w:p>
    <w:sectPr>
      <w:type w:val="nextPage"/>
      <w:pgSz w:h="15840" w:w="12240" w:orient="portrait"/>
      <w:pgMar w:bottom="880" w:top="1440" w:left="600" w:right="600" w:header="708" w:footer="69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libri"/>
  <w:font w:name="Noto Sans Symbols"/>
  <w:font w:name="Carlit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381000</wp:posOffset>
          </wp:positionH>
          <wp:positionV relativeFrom="page">
            <wp:posOffset>448944</wp:posOffset>
          </wp:positionV>
          <wp:extent cx="1789168" cy="406682"/>
          <wp:effectExtent b="0" l="0" r="0" t="0"/>
          <wp:wrapSquare wrapText="bothSides" distB="0" distT="0" distL="0" distR="0"/>
          <wp:docPr id="46" name="image8.jpg"/>
          <a:graphic>
            <a:graphicData uri="http://schemas.openxmlformats.org/drawingml/2006/picture">
              <pic:pic>
                <pic:nvPicPr>
                  <pic:cNvPr id="0" name="image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9168" cy="40668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840" w:hanging="361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860" w:hanging="361"/>
      </w:pPr>
      <w:rPr/>
    </w:lvl>
    <w:lvl w:ilvl="2">
      <w:start w:val="1"/>
      <w:numFmt w:val="bullet"/>
      <w:lvlText w:val="•"/>
      <w:lvlJc w:val="left"/>
      <w:pPr>
        <w:ind w:left="2880" w:hanging="361"/>
      </w:pPr>
      <w:rPr/>
    </w:lvl>
    <w:lvl w:ilvl="3">
      <w:start w:val="1"/>
      <w:numFmt w:val="bullet"/>
      <w:lvlText w:val="•"/>
      <w:lvlJc w:val="left"/>
      <w:pPr>
        <w:ind w:left="3900" w:hanging="361"/>
      </w:pPr>
      <w:rPr/>
    </w:lvl>
    <w:lvl w:ilvl="4">
      <w:start w:val="1"/>
      <w:numFmt w:val="bullet"/>
      <w:lvlText w:val="•"/>
      <w:lvlJc w:val="left"/>
      <w:pPr>
        <w:ind w:left="4920" w:hanging="361"/>
      </w:pPr>
      <w:rPr/>
    </w:lvl>
    <w:lvl w:ilvl="5">
      <w:start w:val="1"/>
      <w:numFmt w:val="bullet"/>
      <w:lvlText w:val="•"/>
      <w:lvlJc w:val="left"/>
      <w:pPr>
        <w:ind w:left="5940" w:hanging="361"/>
      </w:pPr>
      <w:rPr/>
    </w:lvl>
    <w:lvl w:ilvl="6">
      <w:start w:val="1"/>
      <w:numFmt w:val="bullet"/>
      <w:lvlText w:val="•"/>
      <w:lvlJc w:val="left"/>
      <w:pPr>
        <w:ind w:left="6960" w:hanging="361"/>
      </w:pPr>
      <w:rPr/>
    </w:lvl>
    <w:lvl w:ilvl="7">
      <w:start w:val="1"/>
      <w:numFmt w:val="bullet"/>
      <w:lvlText w:val="•"/>
      <w:lvlJc w:val="left"/>
      <w:pPr>
        <w:ind w:left="7980" w:hanging="361"/>
      </w:pPr>
      <w:rPr/>
    </w:lvl>
    <w:lvl w:ilvl="8">
      <w:start w:val="1"/>
      <w:numFmt w:val="bullet"/>
      <w:lvlText w:val="•"/>
      <w:lvlJc w:val="left"/>
      <w:pPr>
        <w:ind w:left="9000" w:hanging="361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840" w:hanging="361"/>
      </w:pPr>
      <w:rPr>
        <w:rFonts w:ascii="Arial" w:cs="Arial" w:eastAsia="Arial" w:hAnsi="Arial"/>
        <w:sz w:val="24"/>
        <w:szCs w:val="24"/>
      </w:rPr>
    </w:lvl>
    <w:lvl w:ilvl="1">
      <w:start w:val="1"/>
      <w:numFmt w:val="bullet"/>
      <w:lvlText w:val="•"/>
      <w:lvlJc w:val="left"/>
      <w:pPr>
        <w:ind w:left="1860" w:hanging="361"/>
      </w:pPr>
      <w:rPr/>
    </w:lvl>
    <w:lvl w:ilvl="2">
      <w:start w:val="1"/>
      <w:numFmt w:val="bullet"/>
      <w:lvlText w:val="•"/>
      <w:lvlJc w:val="left"/>
      <w:pPr>
        <w:ind w:left="2880" w:hanging="361"/>
      </w:pPr>
      <w:rPr/>
    </w:lvl>
    <w:lvl w:ilvl="3">
      <w:start w:val="1"/>
      <w:numFmt w:val="bullet"/>
      <w:lvlText w:val="•"/>
      <w:lvlJc w:val="left"/>
      <w:pPr>
        <w:ind w:left="3900" w:hanging="361"/>
      </w:pPr>
      <w:rPr/>
    </w:lvl>
    <w:lvl w:ilvl="4">
      <w:start w:val="1"/>
      <w:numFmt w:val="bullet"/>
      <w:lvlText w:val="•"/>
      <w:lvlJc w:val="left"/>
      <w:pPr>
        <w:ind w:left="4920" w:hanging="361"/>
      </w:pPr>
      <w:rPr/>
    </w:lvl>
    <w:lvl w:ilvl="5">
      <w:start w:val="1"/>
      <w:numFmt w:val="bullet"/>
      <w:lvlText w:val="•"/>
      <w:lvlJc w:val="left"/>
      <w:pPr>
        <w:ind w:left="5940" w:hanging="361"/>
      </w:pPr>
      <w:rPr/>
    </w:lvl>
    <w:lvl w:ilvl="6">
      <w:start w:val="1"/>
      <w:numFmt w:val="bullet"/>
      <w:lvlText w:val="•"/>
      <w:lvlJc w:val="left"/>
      <w:pPr>
        <w:ind w:left="6960" w:hanging="361"/>
      </w:pPr>
      <w:rPr/>
    </w:lvl>
    <w:lvl w:ilvl="7">
      <w:start w:val="1"/>
      <w:numFmt w:val="bullet"/>
      <w:lvlText w:val="•"/>
      <w:lvlJc w:val="left"/>
      <w:pPr>
        <w:ind w:left="7980" w:hanging="361"/>
      </w:pPr>
      <w:rPr/>
    </w:lvl>
    <w:lvl w:ilvl="8">
      <w:start w:val="1"/>
      <w:numFmt w:val="bullet"/>
      <w:lvlText w:val="•"/>
      <w:lvlJc w:val="left"/>
      <w:pPr>
        <w:ind w:left="9000" w:hanging="36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606" w:right="1606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Pr>
      <w:rFonts w:ascii="Arial" w:cs="Arial" w:eastAsia="Arial" w:hAnsi="Arial"/>
      <w:lang w:val="es-ES"/>
    </w:rPr>
  </w:style>
  <w:style w:type="paragraph" w:styleId="Ttulo1">
    <w:name w:val="heading 1"/>
    <w:basedOn w:val="Normal"/>
    <w:uiPriority w:val="1"/>
    <w:qFormat w:val="1"/>
    <w:pPr>
      <w:ind w:left="1606" w:right="1606"/>
      <w:jc w:val="center"/>
      <w:outlineLvl w:val="0"/>
    </w:pPr>
    <w:rPr>
      <w:b w:val="1"/>
      <w:bCs w:val="1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4"/>
      <w:szCs w:val="24"/>
    </w:rPr>
  </w:style>
  <w:style w:type="paragraph" w:styleId="Prrafodelista">
    <w:name w:val="List Paragraph"/>
    <w:basedOn w:val="Normal"/>
    <w:uiPriority w:val="1"/>
    <w:qFormat w:val="1"/>
    <w:pPr>
      <w:ind w:left="840" w:hanging="361"/>
    </w:pPr>
  </w:style>
  <w:style w:type="paragraph" w:styleId="TableParagraph" w:customStyle="1">
    <w:name w:val="Table Paragraph"/>
    <w:basedOn w:val="Normal"/>
    <w:uiPriority w:val="1"/>
    <w:qFormat w:val="1"/>
    <w:pPr>
      <w:ind w:left="107"/>
    </w:pPr>
  </w:style>
  <w:style w:type="paragraph" w:styleId="Encabezado">
    <w:name w:val="header"/>
    <w:basedOn w:val="Normal"/>
    <w:link w:val="EncabezadoCar"/>
    <w:uiPriority w:val="99"/>
    <w:unhideWhenUsed w:val="1"/>
    <w:rsid w:val="00924E60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24E60"/>
    <w:rPr>
      <w:rFonts w:ascii="Arial" w:cs="Arial" w:eastAsia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24E60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24E60"/>
    <w:rPr>
      <w:rFonts w:ascii="Arial" w:cs="Arial" w:eastAsia="Arial" w:hAnsi="Arial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jpg"/><Relationship Id="rId22" Type="http://schemas.openxmlformats.org/officeDocument/2006/relationships/image" Target="media/image14.png"/><Relationship Id="rId21" Type="http://schemas.openxmlformats.org/officeDocument/2006/relationships/image" Target="media/image6.jpg"/><Relationship Id="rId24" Type="http://schemas.openxmlformats.org/officeDocument/2006/relationships/image" Target="media/image15.jpg"/><Relationship Id="rId23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5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Relationship Id="rId11" Type="http://schemas.openxmlformats.org/officeDocument/2006/relationships/image" Target="media/image13.jpg"/><Relationship Id="rId10" Type="http://schemas.openxmlformats.org/officeDocument/2006/relationships/image" Target="media/image1.jpg"/><Relationship Id="rId13" Type="http://schemas.openxmlformats.org/officeDocument/2006/relationships/image" Target="media/image17.jpg"/><Relationship Id="rId12" Type="http://schemas.openxmlformats.org/officeDocument/2006/relationships/image" Target="media/image11.jpg"/><Relationship Id="rId15" Type="http://schemas.openxmlformats.org/officeDocument/2006/relationships/image" Target="media/image7.jpg"/><Relationship Id="rId14" Type="http://schemas.openxmlformats.org/officeDocument/2006/relationships/image" Target="media/image4.jpg"/><Relationship Id="rId17" Type="http://schemas.openxmlformats.org/officeDocument/2006/relationships/image" Target="media/image16.jpg"/><Relationship Id="rId16" Type="http://schemas.openxmlformats.org/officeDocument/2006/relationships/image" Target="media/image12.jpg"/><Relationship Id="rId19" Type="http://schemas.openxmlformats.org/officeDocument/2006/relationships/image" Target="media/image5.jpg"/><Relationship Id="rId18" Type="http://schemas.openxmlformats.org/officeDocument/2006/relationships/image" Target="media/image18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TJg2o6BSrHi9VCSDF1SGgoP71A==">AMUW2mVLWKZTq4NFdWJg1TGp+pQTSAtETeNOGJpRleZkGpYM5AQ55zpGaNr24mx8JhyicwfTOq/oERxVrHFtNizScchOabTBT1DkiFtsCH8y095T2dCcW5xNr3s9J44MWD/+zDpLZH/f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2020-05-18T02:18:00Z</dcterms:created>
  <dc:creator>Marcela Paz Vasquez C.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2015-08-31T00:00:00Z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2020-05-18T00:00:00Z</vt:filetime>
  </property>
</Properties>
</file>