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002060"/>
          <w:sz w:val="44"/>
        </w:rPr>
        <w:t>BESLUTNINGSNOTAT: OFFICE-HUB PROSJEKTET (AI_KOM)</w:t>
      </w:r>
    </w:p>
    <w:p>
      <w:pPr>
        <w:spacing w:before="0" w:after="360"/>
      </w:pPr>
      <w:r>
        <w:rPr>
          <w:rFonts w:ascii="Calibri" w:hAnsi="Calibri"/>
          <w:i/>
          <w:color w:val="595959"/>
          <w:sz w:val="26"/>
        </w:rPr>
        <w:t>Strategisk og operasjonelt beslutningsgrunnlag for styringsgruppen i Kristiansand kommune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4F8"/>
          </w:tcPr>
          <w:p>
            <w:r>
              <w:rPr>
                <w:b/>
              </w:rPr>
              <w:t xml:space="preserve">Mottaker: </w:t>
            </w:r>
            <w:r>
              <w:t>Styringsgruppen / Kommunedirektøren</w:t>
            </w:r>
          </w:p>
        </w:tc>
        <w:tc>
          <w:tcPr>
            <w:tcW w:type="dxa" w:w="4680"/>
            <w:shd w:fill="F2F4F8"/>
          </w:tcPr>
          <w:p>
            <w:r>
              <w:rPr>
                <w:b/>
              </w:rPr>
              <w:t xml:space="preserve">Dato: </w:t>
            </w:r>
            <w:r>
              <w:t>19. oktober 2026</w:t>
            </w:r>
          </w:p>
        </w:tc>
      </w:tr>
      <w:tr>
        <w:tc>
          <w:tcPr>
            <w:tcW w:type="dxa" w:w="4680"/>
            <w:shd w:fill="F2F4F8"/>
          </w:tcPr>
          <w:p>
            <w:r>
              <w:rPr>
                <w:b/>
              </w:rPr>
              <w:t xml:space="preserve">Tema: </w:t>
            </w:r>
            <w:r>
              <w:t>Forenklet økonomistyring &amp; AI-kontroll</w:t>
            </w:r>
          </w:p>
        </w:tc>
        <w:tc>
          <w:tcPr>
            <w:tcW w:type="dxa" w:w="4680"/>
            <w:shd w:fill="F2F4F8"/>
          </w:tcPr>
          <w:p>
            <w:r>
              <w:rPr>
                <w:b/>
              </w:rPr>
              <w:t xml:space="preserve">Status: </w:t>
            </w:r>
            <w:r>
              <w:t>Til behandling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Calibri" w:hAnsi="Calibri"/>
          <w:b/>
          <w:color w:val="002060"/>
          <w:sz w:val="32"/>
        </w:rPr>
        <w:t>1. Mål og Strategisk Hensikt</w:t>
      </w:r>
    </w:p>
    <w:p>
      <w:r>
        <w:rPr>
          <w:color w:val="333333"/>
        </w:rPr>
        <w:t xml:space="preserve">Kristiansand kommune forvalter et samlet driftsbudsjett på over </w:t>
      </w:r>
      <w:r>
        <w:rPr>
          <w:b/>
        </w:rPr>
        <w:t>7,24 milliarder kroner</w:t>
      </w:r>
      <w:r>
        <w:t xml:space="preserve"> fordelt på 81 enheter og 6 sektorer. Hovedformålet med prosjektet </w:t>
      </w:r>
      <w:r>
        <w:rPr>
          <w:b/>
        </w:rPr>
        <w:t>AI_KOM (Office-Hub)</w:t>
      </w:r>
      <w:r>
        <w:t xml:space="preserve"> er å transformere kommunal virksomhetsstyring ved å erstatte tunge, manuelle rapporteringsrutiner med en selvbetjent og unntaksbasert digital styringsplattform.</w:t>
      </w:r>
    </w:p>
    <w:p>
      <w:pPr>
        <w:pStyle w:val="ListBullet"/>
      </w:pPr>
      <w:r>
        <w:rPr>
          <w:b/>
        </w:rPr>
        <w:t xml:space="preserve">Frigjøre rådgiverkapasitet: </w:t>
      </w:r>
      <w:r>
        <w:t>Flytte økonomirådgivere fra rutinemessig bilagsoppslag og rapporteringsstøtte til strategisk kvalitetssikring.</w:t>
      </w:r>
    </w:p>
    <w:p>
      <w:pPr>
        <w:pStyle w:val="ListBullet"/>
      </w:pPr>
      <w:r>
        <w:rPr>
          <w:b/>
        </w:rPr>
        <w:t xml:space="preserve">Selvbetjening for enhetsledere: </w:t>
      </w:r>
      <w:r>
        <w:t>Gjøre 81 enhetsledere i stand til å håndtere KOSTRA-kontering, selvkostkalkyler og vertskommuneoppgjør selvstendig.</w:t>
      </w:r>
    </w:p>
    <w:p>
      <w:pPr>
        <w:pStyle w:val="ListBullet"/>
      </w:pPr>
      <w:r>
        <w:rPr>
          <w:b/>
        </w:rPr>
        <w:t xml:space="preserve">Ufravikelig lovlighet og kontroll: </w:t>
      </w:r>
      <w:r>
        <w:t>Automatisk håndheving av Kommuneloven § 14-5 (handlingsplikt ved merforbruk) og § 14-6 (bruttoprinsippet).</w:t>
      </w:r>
    </w:p>
    <w:p>
      <w:pPr>
        <w:keepNext/>
        <w:spacing w:before="320" w:after="120"/>
      </w:pPr>
      <w:r>
        <w:rPr>
          <w:rFonts w:ascii="Calibri" w:hAnsi="Calibri"/>
          <w:b/>
          <w:color w:val="002060"/>
          <w:sz w:val="32"/>
        </w:rPr>
        <w:t>2. Operasjonell Modell: Unntaksbasert Styring</w:t>
      </w:r>
    </w:p>
    <w:p>
      <w:r>
        <w:t>For å minimere administrativt tidsbruk lanseres et 'Null-Manual' grensesnitt bygget på prinsippet om Management by Exception: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002060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3168"/>
            <w:shd w:fill="002060"/>
          </w:tcPr>
          <w:p>
            <w:r>
              <w:rPr>
                <w:b/>
                <w:color w:val="FFFFFF"/>
              </w:rPr>
              <w:t>Kriterium</w:t>
            </w:r>
          </w:p>
        </w:tc>
        <w:tc>
          <w:tcPr>
            <w:tcW w:type="dxa" w:w="4032"/>
            <w:shd w:fill="002060"/>
          </w:tcPr>
          <w:p>
            <w:r>
              <w:rPr>
                <w:b/>
                <w:color w:val="FFFFFF"/>
              </w:rPr>
              <w:t>Operasjonell Handling</w:t>
            </w:r>
          </w:p>
        </w:tc>
      </w:tr>
      <w:tr>
        <w:tc>
          <w:tcPr>
            <w:tcW w:type="dxa" w:w="2160"/>
            <w:shd w:fill="F9FAFC"/>
          </w:tcPr>
          <w:p>
            <w:r>
              <w:t>🟢 Grønn Sti</w:t>
            </w:r>
          </w:p>
        </w:tc>
        <w:tc>
          <w:tcPr>
            <w:tcW w:type="dxa" w:w="3168"/>
            <w:shd w:fill="F9FAFC"/>
          </w:tcPr>
          <w:p>
            <w:r>
              <w:t>Avvik innenfor ramme (&lt; 2,0 %)</w:t>
            </w:r>
          </w:p>
        </w:tc>
        <w:tc>
          <w:tcPr>
            <w:tcW w:type="dxa" w:w="4032"/>
            <w:shd w:fill="F9FAFC"/>
          </w:tcPr>
          <w:p>
            <w:r>
              <w:t>Silence is Consent: 0 minutter tidsbruk. Automatisk månedsavslutning og arkivering med SHA-256 stempel.</w:t>
            </w:r>
          </w:p>
        </w:tc>
      </w:tr>
      <w:tr>
        <w:tc>
          <w:tcPr>
            <w:tcW w:type="dxa" w:w="2160"/>
            <w:shd w:fill="F9FAFC"/>
          </w:tcPr>
          <w:p>
            <w:r>
              <w:t>🔴 Rød Sti</w:t>
            </w:r>
          </w:p>
        </w:tc>
        <w:tc>
          <w:tcPr>
            <w:tcW w:type="dxa" w:w="3168"/>
            <w:shd w:fill="F9FAFC"/>
          </w:tcPr>
          <w:p>
            <w:r>
              <w:t>Projisert merforbruk (&gt; 2,0 %)</w:t>
            </w:r>
          </w:p>
        </w:tc>
        <w:tc>
          <w:tcPr>
            <w:tcW w:type="dxa" w:w="4032"/>
            <w:shd w:fill="F9FAFC"/>
          </w:tcPr>
          <w:p>
            <w:r>
              <w:t>One-Click Triage: AI genererer ferdig saksfremlegg. Leder vurderer og godkjenner på 30 sekunder.</w:t>
            </w:r>
          </w:p>
        </w:tc>
      </w:tr>
    </w:tbl>
    <w:p>
      <w:pPr>
        <w:spacing w:after="160"/>
      </w:pPr>
    </w:p>
    <w:p>
      <w:pPr>
        <w:keepNext/>
        <w:spacing w:before="320" w:after="120"/>
      </w:pPr>
      <w:r>
        <w:rPr>
          <w:rFonts w:ascii="Calibri" w:hAnsi="Calibri"/>
          <w:b/>
          <w:color w:val="002060"/>
          <w:sz w:val="32"/>
        </w:rPr>
        <w:t>3. Teknisk Arkitektur: 5-Lags AI Engineering</w:t>
      </w:r>
    </w:p>
    <w:p>
      <w:r>
        <w:t>Prosjektet er bygget på en femlags produksjonsarkitektur som sikrer lav latens, full overholdelse av personvern og høy presisjon:</w:t>
      </w:r>
    </w:p>
    <w:p>
      <w:pPr>
        <w:spacing w:after="80"/>
      </w:pPr>
      <w:r>
        <w:rPr>
          <w:b/>
        </w:rPr>
        <w:t xml:space="preserve">• Nivå 1: Prompt Engineering: </w:t>
      </w:r>
      <w:r>
        <w:t>Strenge Pydantic/JSON-skjemaer og kontekstuelle rolleregler for seniorkommunecontroller.</w:t>
      </w:r>
    </w:p>
    <w:p>
      <w:pPr>
        <w:spacing w:after="80"/>
      </w:pPr>
      <w:r>
        <w:rPr>
          <w:b/>
        </w:rPr>
        <w:t xml:space="preserve">• Nivå 2: Context Engineering: </w:t>
      </w:r>
      <w:r>
        <w:t>Progressiv avdekking (Progressive Disclosure) som holder oppstartskostnaden på ~100 tokens per enhet, samt automatisk sladding av fødselsnumre og bankkonti (GDPR Port 4).</w:t>
      </w:r>
    </w:p>
    <w:p>
      <w:pPr>
        <w:spacing w:after="80"/>
      </w:pPr>
      <w:r>
        <w:rPr>
          <w:b/>
        </w:rPr>
        <w:t xml:space="preserve">• Nivå 3: Harness Engineering: </w:t>
      </w:r>
      <w:r>
        <w:t>Kjøring i luftisolerte sandkasser (Air-Gapped Sandbox) med Model Context Protocol (MCP) mot Framsikt og Visma.</w:t>
      </w:r>
    </w:p>
    <w:p>
      <w:pPr>
        <w:spacing w:after="80"/>
      </w:pPr>
      <w:r>
        <w:rPr>
          <w:b/>
        </w:rPr>
        <w:t xml:space="preserve">• Nivå 4: Loop Engineering: </w:t>
      </w:r>
      <w:r>
        <w:t>Selvkorrigerende Evaluator-Optimizer løkker som sjekker lovhjemler før publisering, samt SQLite-basert læringssvinghjul (Golden Exemplar Store).</w:t>
      </w:r>
    </w:p>
    <w:p>
      <w:pPr>
        <w:spacing w:after="80"/>
      </w:pPr>
      <w:r>
        <w:rPr>
          <w:b/>
        </w:rPr>
        <w:t xml:space="preserve">• Nivå 5: Graph Engineering: </w:t>
      </w:r>
      <w:r>
        <w:t>Orkestrering av fleragent-grafer (LangGraph/DAG) som koordinerer Triage, Kontroll og Revisjon.</w:t>
      </w:r>
    </w:p>
    <w:p>
      <w:pPr>
        <w:keepNext/>
        <w:spacing w:before="320" w:after="120"/>
      </w:pPr>
      <w:r>
        <w:rPr>
          <w:rFonts w:ascii="Calibri" w:hAnsi="Calibri"/>
          <w:b/>
          <w:color w:val="002060"/>
          <w:sz w:val="32"/>
        </w:rPr>
        <w:t>4. Governance, GDPR &amp; Stage-Gate Port 9</w:t>
      </w:r>
    </w:p>
    <w:p>
      <w:r>
        <w:t>For å tilfredsstille kravene i EU AI Act Art. 14 om menneskelig overoppsyn, er systemet utformet med en ufravikelig Stage-Gate Port 9:</w:t>
      </w:r>
    </w:p>
    <w:p>
      <w:pPr>
        <w:pStyle w:val="ListBullet"/>
      </w:pPr>
      <w:r>
        <w:rPr>
          <w:b/>
        </w:rPr>
        <w:t xml:space="preserve">Menneskelig Godkjenning (Human-in-the-Loop): </w:t>
      </w:r>
      <w:r>
        <w:t>Ingen AI-genererte saksfremlegg eller avviksnotater sendes videre til Formannskapet uten at ansvarlig enhetsleder eller controller eksplisitt har gjennomgått og godkjent dokumentet.</w:t>
      </w:r>
    </w:p>
    <w:p>
      <w:pPr>
        <w:pStyle w:val="ListBullet"/>
      </w:pPr>
      <w:r>
        <w:rPr>
          <w:b/>
        </w:rPr>
        <w:t xml:space="preserve">Cryptographic SHA-256 Audit Seal: </w:t>
      </w:r>
      <w:r>
        <w:t>Ved godkjenning genereres et SHA-256 revisjonsstempel bestående av tidsstempel, saksbehandlers ID og dokumentets digitalavtrykk. Dette sikrer ubestridelig sporbarhet for Kommunerevisjonen.</w:t>
      </w:r>
    </w:p>
    <w:p>
      <w:pPr>
        <w:keepNext/>
        <w:spacing w:before="320" w:after="120"/>
      </w:pPr>
      <w:r>
        <w:rPr>
          <w:rFonts w:ascii="Calibri" w:hAnsi="Calibri"/>
          <w:b/>
          <w:color w:val="002060"/>
          <w:sz w:val="32"/>
        </w:rPr>
        <w:t>5. Anbefaling og Beslutningsforslag</w:t>
      </w:r>
    </w:p>
    <w:p>
      <w:r>
        <w:t>Styringsgruppen bes om å fatte følgende vedtak:</w:t>
      </w:r>
    </w:p>
    <w:p>
      <w:pPr>
        <w:spacing w:before="160" w:after="160"/>
        <w:ind w:left="360" w:right="360"/>
      </w:pPr>
      <w:r>
        <w:rPr>
          <w:b/>
          <w:i/>
          <w:color w:val="002060"/>
        </w:rPr>
        <w:t>«Styringsgruppen godkjenner den framlagte arkitekturen og operasjonelle modellen for Office-Hub (AI_KOM). Det gi grønt lys for pilotering i utvalgte enheter innen Helse og mestring og Barnehage i 4. tertial 2026, under forutsetning av at Stage-Gate Port 9 og SHA-256 revisjonsstempling til enhver tid overholdes.»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