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Segoe UI" w:hAnsi="Segoe UI"/>
          <w:b/>
          <w:color w:val="64748B"/>
          <w:sz w:val="17"/>
        </w:rPr>
        <w:t>KRISTIANSAND KOMMUNE | ØKONOMI &amp; VIRKSOMHETSSTYRING | REF: MAL-BUDSJETT-01</w:t>
      </w:r>
    </w:p>
    <w:p>
      <w:pPr>
        <w:spacing w:before="80" w:after="40"/>
      </w:pPr>
      <w:r>
        <w:rPr>
          <w:rFonts w:ascii="Segoe UI" w:hAnsi="Segoe UI"/>
          <w:b/>
          <w:color w:val="1B365D"/>
          <w:sz w:val="32"/>
        </w:rPr>
        <w:t>BUDSJETTINNSPILL TIL FRAMSIKT EPM (HØP 2027–2030)</w:t>
      </w:r>
    </w:p>
    <w:p>
      <w:pPr>
        <w:spacing w:after="280"/>
      </w:pPr>
      <w:r>
        <w:rPr>
          <w:rFonts w:ascii="Segoe UI" w:hAnsi="Segoe UI"/>
          <w:i/>
          <w:color w:val="64748B"/>
          <w:sz w:val="19"/>
        </w:rPr>
        <w:t>Enhetslederens formelle innspill til Handlings- og Økonomiplan</w:t>
      </w:r>
    </w:p>
    <w:p>
      <w:pPr>
        <w:spacing w:after="240"/>
      </w:pPr>
      <w:r>
        <w:rPr>
          <w:color w:val="64748B"/>
          <w:sz w:val="16"/>
        </w:rPr>
        <w:t>―――――――――――――――――――――――――――――――――――――――――――――――――――――――</w:t>
      </w:r>
    </w:p>
    <w:p>
      <w:r>
        <w:t>Dette skjemaet benyttes av enhetsleder ved den årlige budsjettprosessen i Framsikt EPM. Her meldes det inn endringsbehov, demografiske endringer, nye lovpålagte krav og forslag til innsparingstiltak.</w:t>
      </w:r>
    </w:p>
    <w:p>
      <w:pPr>
        <w:pStyle w:val="Heading2"/>
      </w:pPr>
      <w:r>
        <w:rPr>
          <w:color w:val="1B365D"/>
        </w:rPr>
        <w:t>1. RAMMEBETINGELSER &amp; DEMOGRAFI</w:t>
      </w:r>
    </w:p>
    <w:p>
      <w:r>
        <w:t>• Enhetens navn og KOSTRA-funksjon: [Navn og funksjon]</w:t>
        <w:br/>
        <w:t>• Brukergrunnlag / elevtall / beboere: [Endring i antall brukere sammenlignet med 2026]</w:t>
        <w:br/>
        <w:t>• Spesielle utfordringer i tjenestetilbudet: [F.eks. økt pleietyngde eller spesialundervisning]</w:t>
      </w:r>
    </w:p>
    <w:p>
      <w:pPr>
        <w:pStyle w:val="Heading2"/>
      </w:pPr>
      <w:r>
        <w:rPr>
          <w:color w:val="1B365D"/>
        </w:rPr>
        <w:t>2. DRIFTSENDRINGER &amp; INVESTERINGSBEHOV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Tiltak / Behov</w:t>
            </w:r>
          </w:p>
        </w:tc>
        <w:tc>
          <w:tcPr>
            <w:tcW w:type="dxa" w:w="2160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Art / Konto</w:t>
            </w:r>
          </w:p>
        </w:tc>
        <w:tc>
          <w:tcPr>
            <w:tcW w:type="dxa" w:w="2160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Beløp 2027 (kr)</w:t>
            </w:r>
          </w:p>
        </w:tc>
        <w:tc>
          <w:tcPr>
            <w:tcW w:type="dxa" w:w="2160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Begrunnelse &amp; Effekt</w:t>
            </w:r>
          </w:p>
        </w:tc>
      </w:tr>
      <w:tr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Økning grunnbemanning (1 helsefagarbeider)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Art 10100 Fastlønn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+580 000 kr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Erstatter overtid og byråvikarer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Velferdsteknologi / medisindispenser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Art 11500 Lisens/drift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+45 000 kr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Frigjør 4 sykepleietimer per uke</w:t>
            </w:r>
          </w:p>
        </w:tc>
      </w:tr>
      <w:tr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Effektivisering varekjøp (fellesavtale)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Art 11200 Forbruksmateriell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-60 000 kr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Redusert innkjøpspris via konsernavtale</w:t>
            </w:r>
          </w:p>
        </w:tc>
      </w:tr>
    </w:tbl>
    <w:p>
      <w:pPr>
        <w:spacing w:after="280"/>
      </w:pPr>
    </w:p>
    <w:p>
      <w:pPr>
        <w:pStyle w:val="Heading2"/>
      </w:pPr>
      <w:r>
        <w:rPr>
          <w:color w:val="1B365D"/>
        </w:rPr>
        <w:t>3. KONSEKVENS VED MANGLENDE RAMMEJUSTERING</w:t>
      </w:r>
    </w:p>
    <w:p>
      <w:r>
        <w:t>Beskriv konsekvensene for tjenestetilbudet og lovoppfyllelse dersom det omsøkte beløpet ikke innvilges:</w:t>
        <w:br/>
        <w:t>[Lederens faglige vurdering av konsekvenser jf. Helse- og omsorgstjenesteloven / Opplæringsloven]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