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&amp; VIRKSOMHETSSTYRING | REF: MAL-KONTROLL-01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2"/>
        </w:rPr>
        <w:t>INTERNKONTROLL &amp; EGENVURDERING FOR ENHETSLEDER</w:t>
      </w:r>
    </w:p>
    <w:p>
      <w:pPr>
        <w:spacing w:after="280"/>
      </w:pPr>
      <w:r>
        <w:rPr>
          <w:rFonts w:ascii="Segoe UI" w:hAnsi="Segoe UI"/>
          <w:i/>
          <w:color w:val="64748B"/>
          <w:sz w:val="19"/>
        </w:rPr>
        <w:t>Årlig sjekkliste for økonomistyring, fullmakter og attestasjonskontroll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I henhold til Kommuneloven § 14-5 og Kristiansand kommunes økonomireglement plikter alle budsjettansvarlige å påse at det er etablert tilfredsstillende internkontroll. Dette skjemaet fylles ut årlig eller ved tertialoppfølging.</w:t>
      </w:r>
    </w:p>
    <w:p>
      <w:pPr>
        <w:pStyle w:val="Heading2"/>
      </w:pPr>
      <w:r>
        <w:rPr>
          <w:color w:val="1B365D"/>
        </w:rPr>
        <w:t>SJEKKLISTE FOR LEDERENS KONTROLLPUNKTER: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Kontrollområde</w:t>
            </w:r>
          </w:p>
        </w:tc>
        <w:tc>
          <w:tcPr>
            <w:tcW w:type="dxa" w:w="288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Krav og rutine</w:t>
            </w:r>
          </w:p>
        </w:tc>
        <w:tc>
          <w:tcPr>
            <w:tcW w:type="dxa" w:w="2880"/>
            <w:shd w:fill="1B365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Status (OK / Avvik)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1. Attestasjon &amp; Anvisning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Alle inngående fakturaer er attestert innen 5 virkedager. Ingen attesterer egne utlegg.</w:t>
            </w:r>
          </w:p>
        </w:tc>
        <w:tc>
          <w:tcPr>
            <w:tcW w:type="dxa" w:w="288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[  ] OK   [  ] Avvik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2. Timelister &amp; Overtid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Timelister og overtid i GAT godkjennes månedlig. Stikkprøver er gjennomført mot vaktplan.</w:t>
            </w:r>
          </w:p>
        </w:tc>
        <w:tc>
          <w:tcPr>
            <w:tcW w:type="dxa" w:w="288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[  ] OK   [  ] Avvik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3. Delegeringsfullmakt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Ingen innkjøp eller avtaler overskrider tildelt beløpsgrense uten overordnet godkjenning.</w:t>
            </w:r>
          </w:p>
        </w:tc>
        <w:tc>
          <w:tcPr>
            <w:tcW w:type="dxa" w:w="288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[  ] OK   [  ] Avvik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4. NAV Refusjoner (art 1600)</w:t>
            </w:r>
          </w:p>
        </w:tc>
        <w:tc>
          <w:tcPr>
            <w:tcW w:type="dxa" w:w="2880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Alle sykemeldinger over 16 dager er oversendt NAV. Ingen refusjonskrav er foreldet.</w:t>
            </w:r>
          </w:p>
        </w:tc>
        <w:tc>
          <w:tcPr>
            <w:tcW w:type="dxa" w:w="288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[  ] OK   [  ] Avvik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b/>
                <w:sz w:val="17"/>
              </w:rPr>
              <w:t>5. Avviksnotat § 14-5</w:t>
            </w:r>
          </w:p>
        </w:tc>
        <w:tc>
          <w:tcPr>
            <w:tcW w:type="dxa" w:w="288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Ved forventet merforbruk &gt; 5 % eller 250k er formelt avviksnotat sendt kommunalsjef.</w:t>
            </w:r>
          </w:p>
        </w:tc>
        <w:tc>
          <w:tcPr>
            <w:tcW w:type="dxa" w:w="288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rFonts w:ascii="Segoe UI" w:hAnsi="Segoe UI"/>
                <w:sz w:val="17"/>
              </w:rPr>
              <w:t>[  ] OK   [  ] Avvik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color w:val="1B365D"/>
        </w:rPr>
        <w:t>KONKLUSJON &amp; UNDERSKRIFT</w:t>
      </w:r>
    </w:p>
    <w:p>
      <w:r>
        <w:t>Jeg bekrefter at internkontrollen på min enhet er gjennomgått i henhold til ovennevnte punkter.</w:t>
        <w:br/>
        <w:t>Dato: [Dato] | Enhetsleder: [Navn] | Sendes til: [Kommunalsjef / Controller]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