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b/>
          <w:color w:val="003366"/>
          <w:sz w:val="44"/>
        </w:rPr>
        <w:t>STRATEGISK NOTAT &amp; USE CASE (v4)</w:t>
      </w:r>
    </w:p>
    <w:p>
      <w:pPr>
        <w:spacing w:after="360"/>
      </w:pPr>
      <w:r>
        <w:rPr>
          <w:i/>
          <w:color w:val="646464"/>
          <w:sz w:val="26"/>
        </w:rPr>
        <w:t>Proaktiv Økonomistyring, EPM-arkitektur og Stage-Gate Styringsmodell for AI i Kristiansand Kommune</w:t>
      </w:r>
    </w:p>
    <w:p>
      <w:pPr>
        <w:spacing w:after="360"/>
      </w:pPr>
      <w:r>
        <w:rPr>
          <w:color w:val="003366"/>
        </w:rPr>
        <w:t>―――――――――――――――――――――――――――――――――――――――――――――――――――――――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</w:rPr>
              <w:t xml:space="preserve">Formål: </w:t>
            </w:r>
            <w:r>
              <w:t>Dette notatet redegjør for hvordan Kristiansand kommune kan realisere proaktiv økonomi- og virksomhetsstyring (EPM) gjennom AI, automatisert KOSTRA-benchmarking og et Stage-Gate styringsrammeverk. Notatet ivaretar Kommuneloven, Delegeringsreglementet, HTA § 4, EU AI Act og GDPR.</w:t>
              <w:br/>
            </w:r>
            <w:r>
              <w:rPr>
                <w:b/>
              </w:rPr>
              <w:t xml:space="preserve">Målgruppe: </w:t>
            </w:r>
            <w:r>
              <w:t>Økonomidirektør, Kommunedirektør, Kommunalsjefer og Fagrådgivere i Kristiansand kommune.</w:t>
            </w:r>
          </w:p>
        </w:tc>
      </w:tr>
    </w:tbl>
    <w:p>
      <w:pPr>
        <w:spacing w:after="240"/>
      </w:pPr>
    </w:p>
    <w:p>
      <w:pPr>
        <w:pStyle w:val="Heading1"/>
      </w:pPr>
      <w:r>
        <w:t>1. Bakgrunn og Strategisk Kontekst for Kristiansand Kommune</w:t>
      </w:r>
    </w:p>
    <w:p>
      <w:r>
        <w:t xml:space="preserve">Kristiansand kommune leverte et sterkt årsresultat for 2025 med et korrigert netto driftsresultat på </w:t>
      </w:r>
      <w:r>
        <w:rPr>
          <w:b/>
        </w:rPr>
        <w:t>477 millioner kroner (4,0 % av driftsinntektene)</w:t>
      </w:r>
      <w:r>
        <w:t xml:space="preserve">, noe som er over gjenomsnittet for de samarbeidende storkommunene (ASSS på 3,3 %). Netto lånegjeld ble redusert til </w:t>
      </w:r>
      <w:r>
        <w:rPr>
          <w:b/>
        </w:rPr>
        <w:t>8,126 milliarder kroner</w:t>
      </w:r>
      <w:r>
        <w:t>, godt under bystyrets vedtatte gjeldstak på 8,8 milliarder kroner.</w:t>
      </w:r>
    </w:p>
    <w:p>
      <w:r>
        <w:t>I 1. tertialrapport for 2026 fremgår det at korrigert netto driftsresultat prognostiseres til 60,1 millioner kroner (+46,9 mill. kr mot opprinnelig budsjett). Likevel opplever kommunen underliggende driftspress med et samlet merforbruk i tjenesteområdene på 56,4 millioner kroner før fondsbruk, særlig innen Oppvekst (grunnskole og barnevern) og By- og stedsutvikling (vintervedlikehold). Samtidig har innføringen av nytt ERP-system skapt overgangsutfordringer knyttet til fullstendig inntektsføring av sykelønnsrefusjoner fra NAV.</w:t>
      </w:r>
    </w:p>
    <w:p>
      <w:pPr>
        <w:pStyle w:val="Heading1"/>
      </w:pPr>
      <w:r>
        <w:t>2. Operativ AI-Arkitektur &amp; Praktisk Use Case</w:t>
      </w:r>
    </w:p>
    <w:p>
      <w:r>
        <w:t>For å transformere økonomistyringen fra reaktiv, tilbakeskuende tertialrapportering til proaktiv tidligvarsling, etableres en tre-trinns operasjonalisering:</w:t>
      </w:r>
    </w:p>
    <w:p>
      <w:pPr>
        <w:pStyle w:val="ListBullet"/>
      </w:pPr>
      <w:r>
        <w:rPr>
          <w:b/>
        </w:rPr>
        <w:t xml:space="preserve">Trinn 1: Automatisert dataintegrasjon &amp; KOSTRA-validering. </w:t>
      </w:r>
      <w:r>
        <w:t>Sømløs API-kobling mellom Visma Enterprise, Framsikt (Analyse og Rapportering) og SSBs PxWebApi v2. Innføring av automatiske valideringsskript som sjekker konserninterne elimineringer (KOSTRA-artene 380, 780, 480, 880) før rapportering.</w:t>
      </w:r>
    </w:p>
    <w:p>
      <w:pPr>
        <w:pStyle w:val="ListBullet"/>
      </w:pPr>
      <w:r>
        <w:rPr>
          <w:b/>
        </w:rPr>
        <w:t xml:space="preserve">Trinn 2: AI-agentbasert anomali-deteksjon og tidligvarsling. </w:t>
      </w:r>
      <w:r>
        <w:t>En maskinlæringsmodell overvåker månedlige regnskapstall mot historiske mønstre. Identifiserer gryende merforbruk på vikarer (art 1020), overtid (art 1090) og medisinsk utstyr 60–90 dager før det framgår av tertialrapportene.</w:t>
      </w:r>
    </w:p>
    <w:p>
      <w:pPr>
        <w:pStyle w:val="ListBullet"/>
      </w:pPr>
      <w:r>
        <w:rPr>
          <w:b/>
        </w:rPr>
        <w:t xml:space="preserve">Trinn 3: Generativ AI for beslutningsstøtte (RAG/LLM). </w:t>
      </w:r>
      <w:r>
        <w:t>Genererer utkast til avviksforklaringer direkte i Framsikt og tilbyr en intern 'Spør AI'-assistent som svarer enhetsledere på spørsmål om KOSTRA-kontoplan, budsjettreglement og delegerte fullmakter.</w:t>
      </w:r>
    </w:p>
    <w:p>
      <w:pPr>
        <w:pStyle w:val="Heading1"/>
      </w:pPr>
      <w:r>
        <w:t>3. Helhetlig gjennomgang av EPM-Styringssløyfen</w:t>
      </w:r>
    </w:p>
    <w:p>
      <w:r>
        <w:t>Implementeringen berører åtte direkte og indirekte dimensjoner i kommunens virksomhetsstyring:</w:t>
      </w:r>
    </w:p>
    <w:p>
      <w:pPr>
        <w:pStyle w:val="ListBullet"/>
      </w:pPr>
      <w:r>
        <w:rPr>
          <w:b/>
        </w:rPr>
        <w:t xml:space="preserve">1. Datainnhenting: </w:t>
      </w:r>
      <w:r>
        <w:t>API-integrasjon mot Visma, Framsikt og SSB PxWebApi v2. Kvalitetssikres mot etterslep i føringer og EU Data Act.</w:t>
      </w:r>
    </w:p>
    <w:p>
      <w:pPr>
        <w:pStyle w:val="ListBullet"/>
      </w:pPr>
      <w:r>
        <w:rPr>
          <w:b/>
        </w:rPr>
        <w:t xml:space="preserve">2. Rapportering: </w:t>
      </w:r>
      <w:r>
        <w:t>Automatisert rapportgenerering i Framsikt med krav til universell utforming (WCAG) og registrering i offentlig algoritmeregister.</w:t>
      </w:r>
    </w:p>
    <w:p>
      <w:pPr>
        <w:pStyle w:val="ListBullet"/>
      </w:pPr>
      <w:r>
        <w:rPr>
          <w:b/>
        </w:rPr>
        <w:t xml:space="preserve">3. Deskr. analyser: </w:t>
      </w:r>
      <w:r>
        <w:t>KOSTRA- og ASSS-benchmarking som korrigerer for inntektssystemets 'Grønt hefte' og utgiftsbehov.</w:t>
      </w:r>
    </w:p>
    <w:p>
      <w:pPr>
        <w:pStyle w:val="ListBullet"/>
      </w:pPr>
      <w:r>
        <w:rPr>
          <w:b/>
        </w:rPr>
        <w:t xml:space="preserve">4. Diagnostikk: </w:t>
      </w:r>
      <w:r>
        <w:t>Drill-down fra KOSTRA-funksjoner til underliggende arter og sammenstilling mot tverrsektorielle levekårsdata.</w:t>
      </w:r>
    </w:p>
    <w:p>
      <w:pPr>
        <w:pStyle w:val="ListBullet"/>
      </w:pPr>
      <w:r>
        <w:rPr>
          <w:b/>
        </w:rPr>
        <w:t xml:space="preserve">5. Prognoser: </w:t>
      </w:r>
      <w:r>
        <w:t>Machine Learning anomali-deteksjon som fanger opp avvik tidlig, koblet mot SSBs demografiprognoser.</w:t>
      </w:r>
    </w:p>
    <w:p>
      <w:pPr>
        <w:pStyle w:val="ListBullet"/>
      </w:pPr>
      <w:r>
        <w:rPr>
          <w:b/>
        </w:rPr>
        <w:t xml:space="preserve">6. Preskriptiv AI: </w:t>
      </w:r>
      <w:r>
        <w:t>Digitale tiltaksmenyer for enhetsledere og helhetlige scenarier for Handlings- og økonomiplanen (HØP).</w:t>
      </w:r>
    </w:p>
    <w:p>
      <w:pPr>
        <w:pStyle w:val="ListBullet"/>
      </w:pPr>
      <w:r>
        <w:rPr>
          <w:b/>
        </w:rPr>
        <w:t xml:space="preserve">7. Action to Take: </w:t>
      </w:r>
      <w:r>
        <w:t>Stram Human-in-the-Loop-kontroll der AI aldri fatter autonome vedtak, samt drøfting jf. Hovedavtalen § 4.</w:t>
      </w:r>
    </w:p>
    <w:p>
      <w:pPr>
        <w:pStyle w:val="ListBullet"/>
      </w:pPr>
      <w:r>
        <w:rPr>
          <w:b/>
        </w:rPr>
        <w:t xml:space="preserve">8. EOY Re-forecasting: </w:t>
      </w:r>
      <w:r>
        <w:t>Rullerende oppdatering av forventet årsresultat (EOY) i Framsikt og oppfølging av gevinster fra teknologiløftet.</w:t>
      </w:r>
    </w:p>
    <w:p>
      <w:pPr>
        <w:pStyle w:val="Heading1"/>
      </w:pPr>
      <w:r>
        <w:t>4. Rettslige, Politiske og Etiske Rammer (Guardrails)</w:t>
      </w:r>
    </w:p>
    <w:p>
      <w:r>
        <w:t>AI-systemene må fungere innenfor strengt definerte juridiske og organisatoriske rammer: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Regelverk / Ramme</w:t>
            </w:r>
          </w:p>
        </w:tc>
        <w:tc>
          <w:tcPr>
            <w:tcW w:type="dxa" w:w="61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Operativ Betydning for AI-Implementeringen</w:t>
            </w:r>
          </w:p>
        </w:tc>
      </w:tr>
      <w:tr>
        <w:tc>
          <w:tcPr>
            <w:tcW w:type="dxa" w:w="3168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Kommuneloven</w:t>
              <w:br/>
              <w:t>(§§ 13-1, 14-2, 14-4, 14-5)</w:t>
            </w:r>
          </w:p>
        </w:tc>
        <w:tc>
          <w:tcPr>
            <w:tcW w:type="dxa" w:w="6192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Bystyret har eksklusiv bevilgningsmyndighet. AI kan ikke omdisponere midler utover delegert ramme uten politisk vedtak. Automatisert avviksovervåking forankres i kommunedirektørens internkontrollplikt.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Kristiansand Delegerings- &amp;</w:t>
              <w:br/>
              <w:t>Økonomireglement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Definerer grensene for administrative fullmakter (oppdatert mars 2025) og bystyrets vedtatte gjeldstak på 8,8 mrd. kroner.</w:t>
            </w:r>
          </w:p>
        </w:tc>
      </w:tr>
      <w:tr>
        <w:tc>
          <w:tcPr>
            <w:tcW w:type="dxa" w:w="3168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EU AI Act &amp; GDPR</w:t>
              <w:br/>
              <w:t>(Art. 27 FRIA / Art. 35 DPIA)</w:t>
            </w:r>
          </w:p>
        </w:tc>
        <w:tc>
          <w:tcPr>
            <w:tcW w:type="dxa" w:w="6192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Mandatorisk gjennomføring av FRIA (Fundamental Rights Impact Assessment) og DPIA før ibruktaking av AI. Krav om AI Literacy (Art. 4).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HTA &amp; Arbeidsmiljøloven</w:t>
              <w:br/>
              <w:t>(Hovedavtalen § 4)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Tiltak som berører arbeidstid, vaktlister eller vikarbruk må overholde HTA/AML og drøftes formelt med tillitsvalgte i PSU.</w:t>
            </w:r>
          </w:p>
        </w:tc>
      </w:tr>
    </w:tbl>
    <w:p>
      <w:pPr>
        <w:spacing w:after="240"/>
      </w:pPr>
    </w:p>
    <w:p>
      <w:pPr>
        <w:pStyle w:val="Heading1"/>
      </w:pPr>
      <w:r>
        <w:t>5. Stage-Gate Beslutningsmatrise for AI i Økonomistyringen</w:t>
      </w:r>
    </w:p>
    <w:p>
      <w:r>
        <w:t>For å omsette etiske AI-prinsipper og lovkrav til operativ praksis, etableres en ti-trinns Stage-Gate beslutningsmodell. Hver port (gate) fungerer som et obligatorisk kontrollpunkt før prosjektet kan gå videre: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Port (Gate)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3744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Kritiske Godkjenningskrav (Checklist)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Ansvarlige</w:t>
            </w:r>
          </w:p>
        </w:tc>
      </w:tr>
      <w:tr>
        <w:tc>
          <w:tcPr>
            <w:tcW w:type="dxa" w:w="1728"/>
            <w:shd w:fill="F9FBF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Gate 1</w:t>
            </w:r>
          </w:p>
        </w:tc>
        <w:tc>
          <w:tcPr>
            <w:tcW w:type="dxa" w:w="1872"/>
            <w:shd w:fill="F9FBF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Organisasjons-grunnlag</w:t>
            </w:r>
          </w:p>
        </w:tc>
        <w:tc>
          <w:tcPr>
            <w:tcW w:type="dxa" w:w="3744"/>
            <w:shd w:fill="F9FBF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Tverrfaglig team etablert (Økonomi, IT, Juss/DPO). Gjennomført AI Literacy opplæring.</w:t>
            </w:r>
          </w:p>
        </w:tc>
        <w:tc>
          <w:tcPr>
            <w:tcW w:type="dxa" w:w="2016"/>
            <w:shd w:fill="F9FBF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Økonomidirektør / IT-sjef</w:t>
            </w:r>
          </w:p>
        </w:tc>
      </w:tr>
      <w:tr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Gate 2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Behovsscreening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Klar kobling til HØP og KOSTRA-behov. Tradisjonelle metoder vurdert mot AI.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Fagrådgiver / Prosjektleder</w:t>
            </w:r>
          </w:p>
        </w:tc>
      </w:tr>
      <w:tr>
        <w:tc>
          <w:tcPr>
            <w:tcW w:type="dxa" w:w="1728"/>
            <w:shd w:fill="F9FBF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Gate 3</w:t>
            </w:r>
          </w:p>
        </w:tc>
        <w:tc>
          <w:tcPr>
            <w:tcW w:type="dxa" w:w="1872"/>
            <w:shd w:fill="F9FBF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Etisk screening</w:t>
            </w:r>
          </w:p>
        </w:tc>
        <w:tc>
          <w:tcPr>
            <w:tcW w:type="dxa" w:w="3744"/>
            <w:shd w:fill="F9FBF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Etisk egenerklæring fullført. Human-in-the-Loop forankret i prosessdesign.</w:t>
            </w:r>
          </w:p>
        </w:tc>
        <w:tc>
          <w:tcPr>
            <w:tcW w:type="dxa" w:w="2016"/>
            <w:shd w:fill="F9FBF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DPO / Etikkråd</w:t>
            </w:r>
          </w:p>
        </w:tc>
      </w:tr>
      <w:tr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Gate 4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Kapasitet &amp; Budsjett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Gevinstkalkyle godkjent. Finansiering avklart via kommunens teknologiløft/KI-pott.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Økonomidirektør</w:t>
            </w:r>
          </w:p>
        </w:tc>
      </w:tr>
      <w:tr>
        <w:tc>
          <w:tcPr>
            <w:tcW w:type="dxa" w:w="1728"/>
            <w:shd w:fill="F9FBF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Gate 5</w:t>
            </w:r>
          </w:p>
        </w:tc>
        <w:tc>
          <w:tcPr>
            <w:tcW w:type="dxa" w:w="1872"/>
            <w:shd w:fill="F9FBF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Leveransemodell</w:t>
            </w:r>
          </w:p>
        </w:tc>
        <w:tc>
          <w:tcPr>
            <w:tcW w:type="dxa" w:w="3744"/>
            <w:shd w:fill="F9FBF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Vendor lock-in unngått. Datagovernance og eierskap til regnskapsdata sikret i kontrakt.</w:t>
            </w:r>
          </w:p>
        </w:tc>
        <w:tc>
          <w:tcPr>
            <w:tcW w:type="dxa" w:w="2016"/>
            <w:shd w:fill="F9FBF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Innkjøpssjef / IT-arkitekt</w:t>
            </w:r>
          </w:p>
        </w:tc>
      </w:tr>
      <w:tr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Gate 6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Sandkassetesting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Pilotert i isolert testmiljø på historiske regnskapsdata på tvers av skole og boenhet.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Datainformatiker / Økonomi</w:t>
            </w:r>
          </w:p>
        </w:tc>
      </w:tr>
      <w:tr>
        <w:tc>
          <w:tcPr>
            <w:tcW w:type="dxa" w:w="1728"/>
            <w:shd w:fill="F9FBF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Gate 7</w:t>
            </w:r>
          </w:p>
        </w:tc>
        <w:tc>
          <w:tcPr>
            <w:tcW w:type="dxa" w:w="1872"/>
            <w:shd w:fill="F9FBF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Risikovurdering</w:t>
            </w:r>
          </w:p>
        </w:tc>
        <w:tc>
          <w:tcPr>
            <w:tcW w:type="dxa" w:w="3744"/>
            <w:shd w:fill="F9FBF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Gjennomført DPIA (GDPR Art. 35) og FRIA (EU AI Act Art. 27) for rettighetskonsekvenser.</w:t>
            </w:r>
          </w:p>
        </w:tc>
        <w:tc>
          <w:tcPr>
            <w:tcW w:type="dxa" w:w="2016"/>
            <w:shd w:fill="F9FBF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DPO / Juridisk direktør</w:t>
            </w:r>
          </w:p>
        </w:tc>
      </w:tr>
      <w:tr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Gate 8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Regelverks-forankring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Registrert i offentlig algoritmeregister (Eurocities v0.3.1). Drøftet i PSU jf. HA § 4.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Kommunedirektør / HR</w:t>
            </w:r>
          </w:p>
        </w:tc>
      </w:tr>
      <w:tr>
        <w:tc>
          <w:tcPr>
            <w:tcW w:type="dxa" w:w="1728"/>
            <w:shd w:fill="F9FBF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Gate 9</w:t>
            </w:r>
          </w:p>
        </w:tc>
        <w:tc>
          <w:tcPr>
            <w:tcW w:type="dxa" w:w="1872"/>
            <w:shd w:fill="F9FBF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Operativ drift</w:t>
            </w:r>
          </w:p>
        </w:tc>
        <w:tc>
          <w:tcPr>
            <w:tcW w:type="dxa" w:w="3744"/>
            <w:shd w:fill="F9FBF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Parallellkjøring i Framsikt. Månedlig overvåking av modellsvingninger og EOY-presisjon.</w:t>
            </w:r>
          </w:p>
        </w:tc>
        <w:tc>
          <w:tcPr>
            <w:tcW w:type="dxa" w:w="2016"/>
            <w:shd w:fill="F9FBF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Fagansvarlig Økonomi</w:t>
            </w:r>
          </w:p>
        </w:tc>
      </w:tr>
      <w:tr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Gate 10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Evaluering &amp; Skalering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Årlig gevinstmåling (frigjort tid vs. kostnad). Formell beslutning om skalering eller sunsetting.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Økonomidirektør / Bystyret</w:t>
            </w:r>
          </w:p>
        </w:tc>
      </w:tr>
    </w:tbl>
    <w:p>
      <w:pPr>
        <w:spacing w:after="240"/>
      </w:pPr>
    </w:p>
    <w:p>
      <w:pPr>
        <w:pStyle w:val="Heading1"/>
      </w:pPr>
      <w:r>
        <w:t>6. Gjennomføringsveikart og Gevinstrealisering</w:t>
      </w:r>
    </w:p>
    <w:p>
      <w:r>
        <w:t>Implementeringen deles inn i to faser for å sikre lav risiko og rask verdiuthenting:</w:t>
      </w:r>
    </w:p>
    <w:p>
      <w:pPr>
        <w:pStyle w:val="ListBullet"/>
      </w:pPr>
      <w:r>
        <w:rPr>
          <w:b/>
        </w:rPr>
        <w:t xml:space="preserve">Kort sikt (0–12 måneder): </w:t>
      </w:r>
      <w:r>
        <w:t>Operativ avvikskontroll og anomali-deteksjon i Framsikt/Visma for Helse og mestring samt Oppvekst. Etablering av intern 'Spør AI'-assistent og automatisert utkast til tertialnotater.</w:t>
      </w:r>
    </w:p>
    <w:p>
      <w:pPr>
        <w:pStyle w:val="ListBullet"/>
      </w:pPr>
      <w:r>
        <w:rPr>
          <w:b/>
        </w:rPr>
        <w:t xml:space="preserve">Lang sikt (1–4 år): </w:t>
      </w:r>
      <w:r>
        <w:t>Demografidrevet scenarioplanlegging for Handlings- og økonomiplanen (HØP) koblet mot SSBs PxWebApi v2. Systematisk gevinstmåling av kommunens teknologiløft.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787878"/>
        <w:sz w:val="18"/>
      </w:rPr>
      <w:t xml:space="preserve">Side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787878"/>
        <w:sz w:val="17"/>
      </w:rPr>
      <w:t>Kristiansand kommune | Strategisk Notat &amp; Use Case v4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