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9" w:val="clear"/>
          </w:tcPr>
          <w:p>
            <w:r>
              <w:rPr>
                <w:b/>
                <w:color w:val="1B365D"/>
                <w:sz w:val="20"/>
              </w:rPr>
              <w:t>Mottaker / Adressat:</w:t>
            </w:r>
          </w:p>
        </w:tc>
        <w:tc>
          <w:tcPr>
            <w:tcW w:type="dxa" w:w="6192"/>
            <w:shd w:fill="F4F6F9" w:val="clear"/>
          </w:tcPr>
          <w:p>
            <w:r>
              <w:rPr>
                <w:sz w:val="20"/>
              </w:rPr>
              <w:t>Økonomidirektøren, Kristiansand kommune</w:t>
            </w:r>
          </w:p>
        </w:tc>
      </w:tr>
      <w:tr>
        <w:tc>
          <w:tcPr>
            <w:tcW w:type="dxa" w:w="3168"/>
            <w:shd w:fill="F4F6F9" w:val="clear"/>
          </w:tcPr>
          <w:p>
            <w:r>
              <w:rPr>
                <w:b/>
                <w:color w:val="1B365D"/>
                <w:sz w:val="20"/>
              </w:rPr>
              <w:t>Saksbehandler / Rådgiver:</w:t>
            </w:r>
          </w:p>
        </w:tc>
        <w:tc>
          <w:tcPr>
            <w:tcW w:type="dxa" w:w="6192"/>
            <w:shd w:fill="F4F6F9" w:val="clear"/>
          </w:tcPr>
          <w:p>
            <w:r>
              <w:rPr>
                <w:sz w:val="20"/>
              </w:rPr>
              <w:t>Frank Ellingsen, Rådgiver Økonomistyring</w:t>
            </w:r>
          </w:p>
        </w:tc>
      </w:tr>
      <w:tr>
        <w:tc>
          <w:tcPr>
            <w:tcW w:type="dxa" w:w="3168"/>
            <w:shd w:fill="F4F6F9" w:val="clear"/>
          </w:tcPr>
          <w:p>
            <w:r>
              <w:rPr>
                <w:b/>
                <w:color w:val="1B365D"/>
                <w:sz w:val="20"/>
              </w:rPr>
              <w:t>Dato:</w:t>
            </w:r>
          </w:p>
        </w:tc>
        <w:tc>
          <w:tcPr>
            <w:tcW w:type="dxa" w:w="6192"/>
            <w:shd w:fill="F4F6F9" w:val="clear"/>
          </w:tcPr>
          <w:p>
            <w:r>
              <w:rPr>
                <w:sz w:val="20"/>
              </w:rPr>
              <w:t>12. oktober 2026</w:t>
            </w:r>
          </w:p>
        </w:tc>
      </w:tr>
      <w:tr>
        <w:tc>
          <w:tcPr>
            <w:tcW w:type="dxa" w:w="3168"/>
            <w:shd w:fill="F4F6F9" w:val="clear"/>
          </w:tcPr>
          <w:p>
            <w:r>
              <w:rPr>
                <w:b/>
                <w:color w:val="1B365D"/>
                <w:sz w:val="20"/>
              </w:rPr>
              <w:t>Arkivsak / Ref:</w:t>
            </w:r>
          </w:p>
        </w:tc>
        <w:tc>
          <w:tcPr>
            <w:tcW w:type="dxa" w:w="6192"/>
            <w:shd w:fill="F4F6F9" w:val="clear"/>
          </w:tcPr>
          <w:p>
            <w:r>
              <w:rPr>
                <w:sz w:val="20"/>
              </w:rPr>
              <w:t>26/04820-1</w:t>
            </w:r>
          </w:p>
        </w:tc>
      </w:tr>
      <w:tr>
        <w:tc>
          <w:tcPr>
            <w:tcW w:type="dxa" w:w="3168"/>
            <w:shd w:fill="F4F6F9" w:val="clear"/>
          </w:tcPr>
          <w:p>
            <w:r>
              <w:rPr>
                <w:b/>
                <w:color w:val="1B365D"/>
                <w:sz w:val="20"/>
              </w:rPr>
              <w:t>Klassifisering:</w:t>
            </w:r>
          </w:p>
        </w:tc>
        <w:tc>
          <w:tcPr>
            <w:tcW w:type="dxa" w:w="6192"/>
            <w:shd w:fill="F4F6F9" w:val="clear"/>
          </w:tcPr>
          <w:p>
            <w:r>
              <w:rPr>
                <w:sz w:val="20"/>
              </w:rPr>
              <w:t>EPM Virksomhetsstyring &amp; Ansvarlig AI (Stage-Gate)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1B365D"/>
          <w:sz w:val="36"/>
        </w:rPr>
        <w:t>SAKSFREMLEGG: RESPONSIBLE AI &amp; EPM GOVERNANCE</w:t>
      </w:r>
    </w:p>
    <w:p>
      <w:pPr>
        <w:spacing w:after="360"/>
      </w:pPr>
      <w:r>
        <w:rPr>
          <w:rFonts w:ascii="Arial" w:hAnsi="Arial"/>
          <w:i/>
          <w:color w:val="4B6B94"/>
          <w:sz w:val="24"/>
        </w:rPr>
        <w:t>Etablering av ansvarlig AI-rammeverk (EPM) og Stage-Gate styringsmodell for automatisk KOSTRA-avviksanalyse, Visma ERP-korreksjon og rullerende EOY-prognoser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Innstilling og Forslag til Vedtak</w:t>
      </w:r>
    </w:p>
    <w:p>
      <w:r>
        <w:t>Rådgiver økonomistyring innstiller overfor Økonomidirektøren og Lederteamet på følgende formelle vedtak for utrulling av EPM-rammeverket og Stage-Gate styringsmodellen i Kristiansand kommune: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 w:val="clear"/>
          </w:tcPr>
          <w:p>
            <w:pPr>
              <w:spacing w:after="80"/>
            </w:pPr>
            <w:r>
              <w:rPr>
                <w:b/>
                <w:color w:val="1B365D"/>
              </w:rPr>
              <w:t>VEDTAKSPUNKTER (FORMELT VEDTAK):</w:t>
            </w:r>
          </w:p>
          <w:p>
            <w:pPr>
              <w:spacing w:after="80"/>
              <w:ind w:left="288"/>
            </w:pPr>
            <w:r>
              <w:rPr>
                <w:b/>
                <w:color w:val="1B365D"/>
              </w:rPr>
              <w:t xml:space="preserve">1. Etablering av EPM Stage-Gate Styringsmodell: </w:t>
            </w:r>
            <w:r>
              <w:t>Økonomidirektøren godkjenner etablering av Stage-Gate rammeverket (Port 1–10) for AI-støttet virksomhetsstyring (EPM) som en integrert del av kommunens kvalitetssystem.</w:t>
            </w:r>
          </w:p>
          <w:p>
            <w:pPr>
              <w:spacing w:after="80"/>
              <w:ind w:left="288"/>
            </w:pPr>
            <w:r>
              <w:rPr>
                <w:b/>
                <w:color w:val="1B365D"/>
              </w:rPr>
              <w:t xml:space="preserve">2. Human-in-the-Loop (HITL) Forvaltningsprinsipp: </w:t>
            </w:r>
            <w:r>
              <w:t>Rådgivende AI-modeller skal utelukkende benyttes som beslutningsstøtte. Ingen autonome budsjett- eller regnskapsendringer skal gjennomføres uten eksplisitt saksbehandlergodkjenning og skriftlig begrunnelse.</w:t>
            </w:r>
          </w:p>
          <w:p>
            <w:pPr>
              <w:spacing w:after="80"/>
              <w:ind w:left="288"/>
            </w:pPr>
            <w:r>
              <w:rPr>
                <w:b/>
                <w:color w:val="1B365D"/>
              </w:rPr>
              <w:t xml:space="preserve">3. Obligatoriske Etiske Konsekvensvurderinger: </w:t>
            </w:r>
            <w:r>
              <w:t>Det faste Stage-Gate kontrollregimet legges til grunn for alle nye AI-initiativer, inkludert krav om obligatorisk DPIA (GDPR Art. 35) med lokal PII-skjerming og FRIA (EU AI Act Art. 27) før deployment.</w:t>
            </w:r>
          </w:p>
          <w:p>
            <w:pPr>
              <w:spacing w:after="80"/>
              <w:ind w:left="288"/>
            </w:pPr>
            <w:r>
              <w:rPr>
                <w:b/>
                <w:color w:val="1B365D"/>
              </w:rPr>
              <w:t xml:space="preserve">4. Pilotutrulling og Nøytralisering av ERP-støy: </w:t>
            </w:r>
            <w:r>
              <w:t>Rammeverket godkjennes for utrulling i pilotenhetene Grunnskole (Oppvekst) og Boenhet (Helse og mestring) med automatisk nøytralisering av Visma ERP-etterslep på sykelønnsrefusjoner (art 1690).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2. Bakgrunn og Strategisk Formål</w:t>
      </w:r>
    </w:p>
    <w:p>
      <w:r>
        <w:t>Kommunal virksomhetsstyring står overfor økende krav til presisjon, effektivitet og etterlevelse av nasjonale og internasjonale regelverk. I Kristiansand kommune har Bystyret fastsatt klare finansielle handlingsregler som danner rammen for økonomistyringen:</w:t>
      </w:r>
    </w:p>
    <w:p>
      <w:pPr>
        <w:pStyle w:val="ListBullet"/>
      </w:pPr>
      <w:r>
        <w:rPr>
          <w:b/>
        </w:rPr>
        <w:t xml:space="preserve">Netto Driftsresultat: </w:t>
      </w:r>
      <w:r>
        <w:t>Kommunen skal opprettholde et korrigert netto driftsresultat på minimum 1,0 % i henhold til Bystyrets vedtak i 1. tertialrapport 2026.</w:t>
      </w:r>
    </w:p>
    <w:p>
      <w:pPr>
        <w:pStyle w:val="ListBullet"/>
      </w:pPr>
      <w:r>
        <w:rPr>
          <w:b/>
        </w:rPr>
        <w:t xml:space="preserve">Mål for Sykefravær: </w:t>
      </w:r>
      <w:r>
        <w:t>Systematisk oppfølging av nærværsarbeid for å bringe kommunens samlede sykefravær under målkravet på 8,1 %.</w:t>
      </w:r>
    </w:p>
    <w:p>
      <w:r>
        <w:t>Tradisjonelle økonomioppfølginger har i for stor grad vært preget av manuelle avstemminger i regneark og reaktiv rapportering etter at avvikene har inntruffet. Rollen som økonomirådgiver transformeres gjennom dette EPM-rammeverket fra manuell datainnsamling til strategisk beslutningsstøtte, avviksdiagnose og risikostyring i sanntid.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Visma ERP-Omlegging og Periodiseringskorreksjon</w:t>
      </w:r>
    </w:p>
    <w:p>
      <w:r>
        <w:t>Innføringen av nytt ERP-system (Visma Enterprise) i 2026 har skapt betydelig regnskapsmessig støy og periodiseringsavvik i 1. tertial. Dette har ført til at de bokførte YTD-tallene i regnskapet i mange tilfeller ikke reflekterer den underliggende driften ute i enhetene.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4B6B94"/>
          <w:sz w:val="24"/>
        </w:rPr>
        <w:t>3.1 Nøytralisering av Etterslep på NAV-Refusjoner (Art 1690 vs. 1020)</w:t>
      </w:r>
    </w:p>
    <w:p>
      <w:r>
        <w:t>Hovedårsaken til periodiseringsstøyen er at sykelønnsrefusjoner fra NAV (art 1690) har blitt forsinket eller tidsforskjøvet i inntektsføringen, samtidig som lønnsutgiftene til vikarer (art 1020) har påløpt fortløpende. EPM-motoren nøytraliserer denne støyen ved å beregne den forventede refusjonsinntekten basert på påløpt sykevikarbruk: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 w:val="clear"/>
          </w:tcPr>
          <w:p>
            <w:pPr>
              <w:jc w:val="center"/>
            </w:pPr>
            <w:r>
              <w:rPr>
                <w:b/>
                <w:color w:val="1B365D"/>
              </w:rPr>
              <w:t>Reelt Driftsavvik YTD = Bokført YTD Avvik - (Forventet NAV-Refusjon - Bokført Art 1690)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rial" w:hAnsi="Arial"/>
          <w:b/>
          <w:color w:val="4B6B94"/>
          <w:sz w:val="24"/>
        </w:rPr>
        <w:t>3.2 Analyseresultater for Pilotenhetene</w:t>
      </w:r>
    </w:p>
    <w:p>
      <w:r>
        <w:t>Anvendelse av korreksjonsmodellen på våre to anonymiserte pilotenheter viser følgende resultater: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Pilotenhet</w:t>
            </w:r>
          </w:p>
        </w:tc>
        <w:tc>
          <w:tcPr>
            <w:tcW w:type="dxa" w:w="1872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KOSTRA-Funksjon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Bokført YTD Avvik</w:t>
            </w:r>
          </w:p>
        </w:tc>
        <w:tc>
          <w:tcPr>
            <w:tcW w:type="dxa" w:w="1728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Visma ERP-Etterslep</w:t>
            </w:r>
          </w:p>
        </w:tc>
        <w:tc>
          <w:tcPr>
            <w:tcW w:type="dxa" w:w="1872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Reelt Driftsavvik YTD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left"/>
            </w:pPr>
            <w:r>
              <w:t>Grunnskole</w:t>
            </w:r>
          </w:p>
        </w:tc>
        <w:tc>
          <w:tcPr>
            <w:tcW w:type="dxa" w:w="1872"/>
            <w:shd w:fill="FFFFFF" w:val="clear"/>
          </w:tcPr>
          <w:p>
            <w:pPr>
              <w:jc w:val="left"/>
            </w:pPr>
            <w:r>
              <w:t>202 Grunnskole</w:t>
            </w:r>
          </w:p>
        </w:tc>
        <w:tc>
          <w:tcPr>
            <w:tcW w:type="dxa" w:w="1728"/>
            <w:shd w:fill="FFFFFF" w:val="clear"/>
          </w:tcPr>
          <w:p>
            <w:pPr>
              <w:jc w:val="right"/>
            </w:pPr>
            <w:r>
              <w:t>-450 000 kr</w:t>
            </w:r>
          </w:p>
        </w:tc>
        <w:tc>
          <w:tcPr>
            <w:tcW w:type="dxa" w:w="1728"/>
            <w:shd w:fill="FFFFFF" w:val="clear"/>
          </w:tcPr>
          <w:p>
            <w:pPr>
              <w:jc w:val="right"/>
            </w:pPr>
            <w:r>
              <w:t>+300 000 kr (Art 1690)</w:t>
            </w:r>
          </w:p>
        </w:tc>
        <w:tc>
          <w:tcPr>
            <w:tcW w:type="dxa" w:w="1872"/>
            <w:shd w:fill="FFFFFF" w:val="clear"/>
          </w:tcPr>
          <w:p>
            <w:pPr>
              <w:jc w:val="right"/>
            </w:pPr>
            <w:r>
              <w:rPr>
                <w:b/>
              </w:rPr>
              <w:t>-150 000 kr</w:t>
            </w:r>
          </w:p>
        </w:tc>
      </w:tr>
      <w:tr>
        <w:tc>
          <w:tcPr>
            <w:tcW w:type="dxa" w:w="2160"/>
            <w:shd w:fill="F4F6F9" w:val="clear"/>
          </w:tcPr>
          <w:p>
            <w:pPr>
              <w:jc w:val="left"/>
            </w:pPr>
            <w:r>
              <w:t>Boenhet</w:t>
            </w:r>
          </w:p>
        </w:tc>
        <w:tc>
          <w:tcPr>
            <w:tcW w:type="dxa" w:w="1872"/>
            <w:shd w:fill="F4F6F9" w:val="clear"/>
          </w:tcPr>
          <w:p>
            <w:pPr>
              <w:jc w:val="left"/>
            </w:pPr>
            <w:r>
              <w:t>254 Bofellesskap</w:t>
            </w:r>
          </w:p>
        </w:tc>
        <w:tc>
          <w:tcPr>
            <w:tcW w:type="dxa" w:w="1728"/>
            <w:shd w:fill="F4F6F9" w:val="clear"/>
          </w:tcPr>
          <w:p>
            <w:pPr>
              <w:jc w:val="right"/>
            </w:pPr>
            <w:r>
              <w:t>-1 200 000 kr</w:t>
            </w:r>
          </w:p>
        </w:tc>
        <w:tc>
          <w:tcPr>
            <w:tcW w:type="dxa" w:w="1728"/>
            <w:shd w:fill="F4F6F9" w:val="clear"/>
          </w:tcPr>
          <w:p>
            <w:pPr>
              <w:jc w:val="right"/>
            </w:pPr>
            <w:r>
              <w:t>+400 000 kr (BPA/NAV)</w:t>
            </w:r>
          </w:p>
        </w:tc>
        <w:tc>
          <w:tcPr>
            <w:tcW w:type="dxa" w:w="1872"/>
            <w:shd w:fill="F4F6F9" w:val="clear"/>
          </w:tcPr>
          <w:p>
            <w:pPr>
              <w:jc w:val="right"/>
            </w:pPr>
            <w:r>
              <w:rPr>
                <w:b/>
              </w:rPr>
              <w:t>-800 000 kr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M365-Integrasjon, Årshjul og Operativ Arbeidsflyt</w:t>
      </w:r>
    </w:p>
    <w:p>
      <w:r>
        <w:t>For å sikre at virksomhetsstyringen blir en integrert del av den operative hverdagen, kobles EPM-plattformen direkte til kommunens eksisterende Microsoft 365-infrastruktur (Teams, SharePoint, Outlook):</w:t>
      </w:r>
    </w:p>
    <w:p>
      <w:pPr>
        <w:pStyle w:val="ListBullet"/>
      </w:pPr>
      <w:r>
        <w:rPr>
          <w:b/>
        </w:rPr>
        <w:t xml:space="preserve">Kommunalt Årshjul (Plandisc): </w:t>
      </w:r>
      <w:r>
        <w:t>Det sirkulære årshjulet integreres som eynet faneblad i Microsoft Teams, med automatiske kalenderpåminnelser i Outlook for frister til SSB KOSTRA (jan/feb), tertialrapporter (mai/sep) og HØP/Årsbudsjett (des).</w:t>
      </w:r>
    </w:p>
    <w:p>
      <w:pPr>
        <w:pStyle w:val="ListBullet"/>
      </w:pPr>
      <w:r>
        <w:rPr>
          <w:b/>
        </w:rPr>
        <w:t xml:space="preserve">Teams Adaptive Cards: </w:t>
      </w:r>
      <w:r>
        <w:t>Når reelt driftsavvik overstiger vesentlighetsgrensen på 5 %, sendes et automatisk, interaktivt varselkort til Teams-kanalen med direkteknapper til Power BI og Controller-portalen.</w:t>
      </w:r>
    </w:p>
    <w:p>
      <w:pPr>
        <w:pStyle w:val="ListBullet"/>
      </w:pPr>
      <w:r>
        <w:rPr>
          <w:b/>
        </w:rPr>
        <w:t xml:space="preserve">Power BI &amp; Excel What-If Scenarier: </w:t>
      </w:r>
      <w:r>
        <w:t>Interaktive rapporter med 5-nivåers drill-down og What-If glidere for simulering av EOY-balanse ved endrede forutsetninger for lønnsoppgjør, sykefravær og rammeoverføringer.</w:t>
      </w:r>
    </w:p>
    <w:p>
      <w:pPr>
        <w:pStyle w:val="ListBullet"/>
      </w:pPr>
      <w:r>
        <w:rPr>
          <w:b/>
        </w:rPr>
        <w:t xml:space="preserve">Sak-/Arkiv- og Framsikt-kobling: </w:t>
      </w:r>
      <w:r>
        <w:t>Godkjente saksnotater og omdisponeringer overføres automatisk til ACOS/Public360 for journalføring og til Framsikt/Visma for budsjettjustering.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5. Stage-Gate Governance og Etiske Konsekvensvurderinger</w:t>
      </w:r>
    </w:p>
    <w:p>
      <w:r>
        <w:t>Bruk av kunstig intelligens i kommunal sektor krever streng forvaltning og etisk forankring. Løsningen er bygget rundt en sekvensiell Stage-Gate modell med 10 kontrollporter som sikrer kvalitet før produksjonssetting:</w:t>
      </w:r>
    </w:p>
    <w:p>
      <w:pPr>
        <w:pStyle w:val="ListBullet"/>
      </w:pPr>
      <w:r>
        <w:rPr>
          <w:b/>
        </w:rPr>
        <w:t xml:space="preserve">DPIA (GDPR Art. 35) &amp; Lokal PII-Skjerming: </w:t>
      </w:r>
      <w:r>
        <w:t>Personvernkonsekvenser vurderes før oppstart. Alle bilagstekster vaskes automatisk lokalt via pii_scrubber.py for fødselsnumre, navn og kontonummer før AI-analyse.</w:t>
      </w:r>
    </w:p>
    <w:p>
      <w:pPr>
        <w:pStyle w:val="ListBullet"/>
      </w:pPr>
      <w:r>
        <w:rPr>
          <w:b/>
        </w:rPr>
        <w:t xml:space="preserve">FRIA (EU AI Act Art. 27): </w:t>
      </w:r>
      <w:r>
        <w:t>Konsekvensvurdering for grunnleggende rettigheter gjennomføres for å forhindre usaklig forskjellsbehandling mellom virksomhetsenheter og sikre demokratisk kontroll.</w:t>
      </w:r>
    </w:p>
    <w:p>
      <w:pPr>
        <w:pStyle w:val="ListBullet"/>
      </w:pPr>
      <w:r>
        <w:rPr>
          <w:b/>
        </w:rPr>
        <w:t xml:space="preserve">Offentlig Algoritmeregister: </w:t>
      </w:r>
      <w:r>
        <w:t>Operative AI-modeller registreres i kommunens offentlige algoritmeregister i henhold til Eurocities Algorithmic Transparency Standard.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6. Human-in-the-Loop (HITL) og Uforanderlig Audit Trail</w:t>
      </w:r>
    </w:p>
    <w:p>
      <w:r>
        <w:t>Det faste forvaltningsprinsippet slår fast at AI aldri fatter autonome eller bindende beslutninger. Beslutningsmyndigheten ligger uavkortet hos ansvarlig controller eller enhetsleder (Human-in-the-Loop).</w:t>
      </w:r>
    </w:p>
    <w:p>
      <w:r>
        <w:t>I Controller AI Portal (hitl_writeback_ui.py) evaluerer saksbehandleren RAG-diagnosen og velger en av tre behandlingsstatuser:</w:t>
      </w:r>
    </w:p>
    <w:p>
      <w:pPr>
        <w:pStyle w:val="ListBullet"/>
      </w:pPr>
      <w:r>
        <w:rPr>
          <w:b/>
        </w:rPr>
        <w:t xml:space="preserve">APPROVED (Godkjenn): </w:t>
      </w:r>
      <w:r>
        <w:t>Full tilslutning til AI-analysen og foreslått omdisponering.</w:t>
      </w:r>
    </w:p>
    <w:p>
      <w:pPr>
        <w:pStyle w:val="ListBullet"/>
      </w:pPr>
      <w:r>
        <w:rPr>
          <w:b/>
        </w:rPr>
        <w:t xml:space="preserve">MODIFIED (Endre/Korriger): </w:t>
      </w:r>
      <w:r>
        <w:t>Saksbehandler overprøver beløp eller tiltak basert på lokal fagkunnskap.</w:t>
      </w:r>
    </w:p>
    <w:p>
      <w:pPr>
        <w:pStyle w:val="ListBullet"/>
      </w:pPr>
      <w:r>
        <w:rPr>
          <w:b/>
        </w:rPr>
        <w:t xml:space="preserve">REJECTED (Avvis): </w:t>
      </w:r>
      <w:r>
        <w:t>AI-forslaget forkastes i sin helhet.</w:t>
      </w:r>
    </w:p>
    <w:p>
      <w:r>
        <w:t>Ved lagring skrives saksbehandlernotatet, valgt utfall, tidsstempel, bruker-ID og en unik SHA-256 kryptografisk hash uforanderlig til databasetabellen Audit_AI_Actions i kristiansand_golden_record.db. Dette garanterer 100 % revisjonsklar sporbarhet jf. EU AI Act Art. 26(6).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7. RACI Ansvarsmatrise</w:t>
      </w:r>
    </w:p>
    <w:p>
      <w:r>
        <w:t>Ansvarsfordelingen mellom de ulike rollene i kommunen er definert som følger (A = Accountable, R = Responsible, C = Consulted, I = Informed):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Livssyklustrinn</w:t>
            </w:r>
          </w:p>
        </w:tc>
        <w:tc>
          <w:tcPr>
            <w:tcW w:type="dxa" w:w="129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Økonomidirektør</w:t>
            </w:r>
          </w:p>
        </w:tc>
        <w:tc>
          <w:tcPr>
            <w:tcW w:type="dxa" w:w="129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AI-Rådgiver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Juridisk / DPO</w:t>
            </w:r>
          </w:p>
        </w:tc>
        <w:tc>
          <w:tcPr>
            <w:tcW w:type="dxa" w:w="1296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 / Sikkerhet</w:t>
            </w:r>
          </w:p>
        </w:tc>
        <w:tc>
          <w:tcPr>
            <w:tcW w:type="dxa" w:w="144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Enhetsleder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sz w:val="19"/>
              </w:rPr>
              <w:t>1. Behov &amp; Egnethet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2592"/>
            <w:shd w:fill="F4F6F9" w:val="clear"/>
          </w:tcPr>
          <w:p>
            <w:pPr>
              <w:jc w:val="left"/>
            </w:pPr>
            <w:r>
              <w:rPr>
                <w:sz w:val="19"/>
              </w:rPr>
              <w:t>2. Risikoklassifisering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sz w:val="19"/>
              </w:rPr>
              <w:t>3. Konsekvensanalyse (FRIA/DPIA)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C (DPO)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2592"/>
            <w:shd w:fill="F4F6F9" w:val="clear"/>
          </w:tcPr>
          <w:p>
            <w:pPr>
              <w:jc w:val="left"/>
            </w:pPr>
            <w:r>
              <w:rPr>
                <w:sz w:val="19"/>
              </w:rPr>
              <w:t>4. Sandkassetesting &amp; Gate 6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left"/>
            </w:pPr>
            <w:r>
              <w:rPr>
                <w:sz w:val="19"/>
              </w:rPr>
              <w:t>5. Operativ Drift (HITL)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sz w:val="19"/>
              </w:rPr>
              <w:t>R (Beslutter)</w:t>
            </w:r>
          </w:p>
        </w:tc>
      </w:tr>
      <w:tr>
        <w:tc>
          <w:tcPr>
            <w:tcW w:type="dxa" w:w="2592"/>
            <w:shd w:fill="F4F6F9" w:val="clear"/>
          </w:tcPr>
          <w:p>
            <w:pPr>
              <w:jc w:val="left"/>
            </w:pPr>
            <w:r>
              <w:rPr>
                <w:sz w:val="19"/>
              </w:rPr>
              <w:t>6. Overvåking &amp; Audit Logging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C (DPO)</w:t>
            </w:r>
          </w:p>
        </w:tc>
        <w:tc>
          <w:tcPr>
            <w:tcW w:type="dxa" w:w="1296"/>
            <w:shd w:fill="F4F6F9" w:val="clear"/>
          </w:tcPr>
          <w:p>
            <w:pPr>
              <w:jc w:val="center"/>
            </w:pPr>
            <w:r>
              <w:rPr>
                <w:b/>
                <w:sz w:val="19"/>
              </w:rPr>
              <w:t>R</w:t>
            </w:r>
          </w:p>
        </w:tc>
        <w:tc>
          <w:tcPr>
            <w:tcW w:type="dxa" w:w="1440"/>
            <w:shd w:fill="F4F6F9" w:val="clear"/>
          </w:tcPr>
          <w:p>
            <w:pPr>
              <w:jc w:val="center"/>
            </w:pPr>
            <w:r>
              <w:rPr>
                <w:sz w:val="19"/>
              </w:rPr>
              <w:t>I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8. Fremdriftsplan og Utrulling</w:t>
      </w:r>
    </w:p>
    <w:p>
      <w:r>
        <w:t>Utrullingen av EPM-rammeverket og Stage-Gate styringsmodellen følger tre hovedfaser mot full operativ drift:</w:t>
      </w:r>
    </w:p>
    <w:p>
      <w:pPr>
        <w:pStyle w:val="ListBullet"/>
      </w:pPr>
      <w:r>
        <w:rPr>
          <w:b/>
        </w:rPr>
        <w:t xml:space="preserve">Fase 1 (Okt–Nov 2026): </w:t>
      </w:r>
      <w:r>
        <w:t>Gjennomføring av DPIA/FRIA, etablering av PII-skjerming og integrasjon av Plandisc Årshjul i Teams.</w:t>
      </w:r>
    </w:p>
    <w:p>
      <w:pPr>
        <w:pStyle w:val="ListBullet"/>
      </w:pPr>
      <w:r>
        <w:rPr>
          <w:b/>
        </w:rPr>
        <w:t xml:space="preserve">Fase 2 (Des 2026 – Jan 2027): </w:t>
      </w:r>
      <w:r>
        <w:t>Pilottesting i Grunnskole og Boenhet med parallellkjøring av Controller AI Portal og Audit Log write-back.</w:t>
      </w:r>
    </w:p>
    <w:p>
      <w:pPr>
        <w:pStyle w:val="ListBullet"/>
      </w:pPr>
      <w:r>
        <w:rPr>
          <w:b/>
        </w:rPr>
        <w:t xml:space="preserve">Fase 3 (Feb 2027 – Mai 2027): </w:t>
      </w:r>
      <w:r>
        <w:t>Kommunedekkende utrulling i alle sektorer i forkant av 1. tertialrapport 2027.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Arkivsak 26/04820-1  •  Unntatt offentlighet / Intern saksforberedelse  •  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KRISTIANSAND KOMMUNE  |  SAKSFREMLEGG TIL ØKONOMIDIREKTØREN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