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/>
          <w:b/>
          <w:color w:val="64748B"/>
          <w:sz w:val="17"/>
        </w:rPr>
        <w:t>KRISTIANSAND KOMMUNE | ØKONOMI OG VIRKSOMHETSSTYRING | REF: RAP-2026-M09-KOMSJEF-OPPV</w:t>
      </w:r>
    </w:p>
    <w:p>
      <w:pPr>
        <w:spacing w:before="80" w:after="40"/>
      </w:pPr>
      <w:r>
        <w:rPr>
          <w:rFonts w:ascii="Segoe UI" w:hAnsi="Segoe UI"/>
          <w:b/>
          <w:color w:val="1B365D"/>
          <w:sz w:val="34"/>
        </w:rPr>
        <w:t>MÅNEDLIG AVVIKS- OG TILTAKSRAPPORT — KOMMUNALSJEF</w:t>
      </w:r>
    </w:p>
    <w:p>
      <w:pPr>
        <w:spacing w:after="320"/>
      </w:pPr>
      <w:r>
        <w:rPr>
          <w:rFonts w:ascii="Segoe UI" w:hAnsi="Segoe UI"/>
          <w:i/>
          <w:color w:val="64748B"/>
          <w:sz w:val="20"/>
        </w:rPr>
        <w:t>Sektorvis månedsrapport — Oppvekst og Grunnskole</w:t>
      </w:r>
    </w:p>
    <w:p>
      <w:pPr>
        <w:spacing w:after="240"/>
      </w:pPr>
      <w:r>
        <w:rPr>
          <w:color w:val="64748B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1B365D"/>
        </w:rPr>
        <w:t>SEKTOROVERSIKT OPPVEKST:</w:t>
      </w:r>
    </w:p>
    <w:p>
      <w:r>
        <w:t>• Sektorens årsramme: 2 450 000 tNOK | Påløpt avvik hittil: +38 500 tNOK (+2.3 %)</w:t>
        <w:br/>
        <w:t>• EOY Helårsprognose: +45 000 tNOK (Merforbruk dersom tiltak ikke iverksettes)</w:t>
        <w:br/>
        <w:t>• Hoveddrivere: Lønnsart 1020 Vikarer (+18.2M / 47.3 %), Art 1090 Overtid (+6.4M), Spesialundervisning (+9.1M)</w:t>
      </w:r>
    </w:p>
    <w:p>
      <w:pPr>
        <w:pStyle w:val="Heading3"/>
      </w:pPr>
      <w:r>
        <w:t>Enhetsvis Avviksmatrise (Skoler):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Enhetsnr</w:t>
            </w:r>
          </w:p>
        </w:tc>
        <w:tc>
          <w:tcPr>
            <w:tcW w:type="dxa" w:w="14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Skole / Virksomhet</w:t>
            </w:r>
          </w:p>
        </w:tc>
        <w:tc>
          <w:tcPr>
            <w:tcW w:type="dxa" w:w="14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Ramme</w:t>
            </w:r>
          </w:p>
        </w:tc>
        <w:tc>
          <w:tcPr>
            <w:tcW w:type="dxa" w:w="14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Påløpt</w:t>
            </w:r>
          </w:p>
        </w:tc>
        <w:tc>
          <w:tcPr>
            <w:tcW w:type="dxa" w:w="14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Avvik</w:t>
            </w:r>
          </w:p>
        </w:tc>
        <w:tc>
          <w:tcPr>
            <w:tcW w:type="dxa" w:w="14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201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Grim Skole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45 000 tNOK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32 100 tNOK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+1 800 tNOK (+5.9%)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C0392B"/>
                <w:sz w:val="17"/>
              </w:rPr>
              <w:t>🔴 Kritiske avvik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202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Lovisenlev Skole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52 000 tNOK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37 400 tNOK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+3 200 tNOK (+9.3%)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C0392B"/>
                <w:sz w:val="17"/>
              </w:rPr>
              <w:t>🔴 Kritiske avvik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203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Tangvall Skole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68 000 tNOK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46 100 tNOK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-800 tNOK (-1.7%)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🟢 Innenfor ramme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204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Vågsbygd Skole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74 000 tNOK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51 200 tNOK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+2 100 tNOK (+4.3%)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🟡 Mildt avvik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210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PPT &amp; Fellesenheter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35 000 tNOK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23 800 tNOK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+400 tNOK (+1.7%)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🟢 Innenfor ramme</w:t>
            </w:r>
          </w:p>
        </w:tc>
      </w:tr>
    </w:tbl>
    <w:p>
      <w:pPr>
        <w:pStyle w:val="Heading2"/>
      </w:pPr>
      <w:r>
        <w:rPr>
          <w:color w:val="1B365D"/>
        </w:rPr>
        <w:t>SEKTORVISE TILTAK (ACTION ITEMS):</w:t>
      </w:r>
    </w:p>
    <w:p>
      <w:r>
        <w:t>• OPP-01: Etablere intern vikarring på tvers av Grim, Lovisenlev og Vågsbygd skoler (-450k/md).</w:t>
        <w:br/>
        <w:t>• OPP-02: Re-evaluere enkeltvedtak om spesialundervisning (gruppetiltak vs 1-til-1) (-800k/md).</w:t>
        <w:br/>
        <w:t>• OPP-03: Midlertidig frys i utstyrsinnkjøp og læremidler utover kritiske digitale lisenser (-300k/md).</w:t>
      </w:r>
    </w:p>
    <w:p>
      <w:r>
        <w:rPr>
          <w:rFonts w:ascii="Consolas" w:hAnsi="Consolas"/>
          <w:sz w:val="17"/>
        </w:rPr>
        <w:t>Kommunalsjef Oppvekst: Signert elektronisk | Dato: 2026-09-28</w:t>
        <w:br/>
        <w:t>SHA-256: d1e2f3a4b5c6d7e8f9a0b1c2d3e4f5a6b7c8d9e0f1a2b3c4d5e6f7a8b9c0d1e2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