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64748B"/>
          <w:sz w:val="17"/>
        </w:rPr>
        <w:t>KRISTIANSAND KOMMUNE | ØKONOMI OG VIRKSOMHETSSTYRING | REF: SAK-2026-T2-1405</w:t>
      </w:r>
    </w:p>
    <w:p>
      <w:pPr>
        <w:spacing w:before="80" w:after="40"/>
      </w:pPr>
      <w:r>
        <w:rPr>
          <w:rFonts w:ascii="Segoe UI" w:hAnsi="Segoe UI"/>
          <w:b/>
          <w:color w:val="1B365D"/>
          <w:sz w:val="34"/>
        </w:rPr>
        <w:t>SAKSFREMLEGG: BUDSJETTENDRING OG OMDISPONERING</w:t>
      </w:r>
    </w:p>
    <w:p>
      <w:pPr>
        <w:spacing w:after="320"/>
      </w:pPr>
      <w:r>
        <w:rPr>
          <w:rFonts w:ascii="Segoe UI" w:hAnsi="Segoe UI"/>
          <w:i/>
          <w:color w:val="64748B"/>
          <w:sz w:val="20"/>
        </w:rPr>
        <w:t>Regulering av årsbudsjettet jf. Kommuneloven § 14-5 og bruttoprinsippet § 14-6</w:t>
      </w:r>
    </w:p>
    <w:p>
      <w:pPr>
        <w:spacing w:after="240"/>
      </w:pPr>
      <w:r>
        <w:rPr>
          <w:color w:val="64748B"/>
          <w:sz w:val="16"/>
        </w:rPr>
        <w:t>―――――――――――――――――――――――――――――――――――――――――――――――――――――――</w:t>
      </w:r>
    </w:p>
    <w:tbl>
      <w:tblPr>
        <w:tblW w:type="auto" w:w="0"/>
        <w:jc w:val="center"/>
        <w:tblLook w:firstColumn="1" w:firstRow="1" w:lastColumn="0" w:lastRow="0" w:noHBand="0" w:noVBand="1" w:val="04A0"/>
      </w:tblPr>
      <w:tblGrid>
        <w:gridCol w:w="4320"/>
        <w:gridCol w:w="4320"/>
      </w:tblGrid>
      <w:tr>
        <w:tc>
          <w:tcPr>
            <w:tcW w:type="dxa" w:w="3168"/>
            <w:shd w:fill="F1F5F9"/>
            <w:tcMar>
              <w:top w:w="60" w:type="dxa"/>
              <w:bottom w:w="60" w:type="dxa"/>
              <w:left w:w="100" w:type="dxa"/>
              <w:right w:w="100" w:type="dxa"/>
            </w:tcMar>
          </w:tcPr>
          <w:p>
            <w:r>
              <w:rPr>
                <w:rFonts w:ascii="Segoe UI" w:hAnsi="Segoe UI"/>
                <w:b/>
                <w:color w:val="1B365D"/>
                <w:sz w:val="19"/>
              </w:rPr>
              <w:t>Arkivsak / Saksnummer:</w:t>
            </w:r>
          </w:p>
        </w:tc>
        <w:tc>
          <w:tcPr>
            <w:tcW w:type="dxa" w:w="6192"/>
            <w:shd w:fill="FFFFFF"/>
            <w:tcMar>
              <w:top w:w="60" w:type="dxa"/>
              <w:bottom w:w="60" w:type="dxa"/>
              <w:left w:w="100" w:type="dxa"/>
              <w:right w:w="100" w:type="dxa"/>
            </w:tcMar>
          </w:tcPr>
          <w:p>
            <w:r>
              <w:rPr>
                <w:rFonts w:ascii="Segoe UI" w:hAnsi="Segoe UI"/>
                <w:sz w:val="19"/>
              </w:rPr>
              <w:t>26/08940-1</w:t>
            </w:r>
          </w:p>
        </w:tc>
      </w:tr>
      <w:tr>
        <w:tc>
          <w:tcPr>
            <w:tcW w:type="dxa" w:w="3168"/>
            <w:shd w:fill="F1F5F9"/>
            <w:tcMar>
              <w:top w:w="60" w:type="dxa"/>
              <w:bottom w:w="60" w:type="dxa"/>
              <w:left w:w="100" w:type="dxa"/>
              <w:right w:w="100" w:type="dxa"/>
            </w:tcMar>
          </w:tcPr>
          <w:p>
            <w:r>
              <w:rPr>
                <w:rFonts w:ascii="Segoe UI" w:hAnsi="Segoe UI"/>
                <w:b/>
                <w:color w:val="1B365D"/>
                <w:sz w:val="19"/>
              </w:rPr>
              <w:t>Saksbehandler / Controller:</w:t>
            </w:r>
          </w:p>
        </w:tc>
        <w:tc>
          <w:tcPr>
            <w:tcW w:type="dxa" w:w="6192"/>
            <w:shd w:fill="FFFFFF"/>
            <w:tcMar>
              <w:top w:w="60" w:type="dxa"/>
              <w:bottom w:w="60" w:type="dxa"/>
              <w:left w:w="100" w:type="dxa"/>
              <w:right w:w="100" w:type="dxa"/>
            </w:tcMar>
          </w:tcPr>
          <w:p>
            <w:r>
              <w:rPr>
                <w:rFonts w:ascii="Segoe UI" w:hAnsi="Segoe UI"/>
                <w:sz w:val="19"/>
              </w:rPr>
              <w:t>Rådgiver Økonomistyring / Frank Ellingsen</w:t>
            </w:r>
          </w:p>
        </w:tc>
      </w:tr>
      <w:tr>
        <w:tc>
          <w:tcPr>
            <w:tcW w:type="dxa" w:w="3168"/>
            <w:shd w:fill="F1F5F9"/>
            <w:tcMar>
              <w:top w:w="60" w:type="dxa"/>
              <w:bottom w:w="60" w:type="dxa"/>
              <w:left w:w="100" w:type="dxa"/>
              <w:right w:w="100" w:type="dxa"/>
            </w:tcMar>
          </w:tcPr>
          <w:p>
            <w:r>
              <w:rPr>
                <w:rFonts w:ascii="Segoe UI" w:hAnsi="Segoe UI"/>
                <w:b/>
                <w:color w:val="1B365D"/>
                <w:sz w:val="19"/>
              </w:rPr>
              <w:t>Møtedato &amp; Utvalg:</w:t>
            </w:r>
          </w:p>
        </w:tc>
        <w:tc>
          <w:tcPr>
            <w:tcW w:type="dxa" w:w="6192"/>
            <w:shd w:fill="FFFFFF"/>
            <w:tcMar>
              <w:top w:w="60" w:type="dxa"/>
              <w:bottom w:w="60" w:type="dxa"/>
              <w:left w:w="100" w:type="dxa"/>
              <w:right w:w="100" w:type="dxa"/>
            </w:tcMar>
          </w:tcPr>
          <w:p>
            <w:r>
              <w:rPr>
                <w:rFonts w:ascii="Segoe UI" w:hAnsi="Segoe UI"/>
                <w:sz w:val="19"/>
              </w:rPr>
              <w:t>28. september 2026 — Formannskapet / Bystyret</w:t>
            </w:r>
          </w:p>
        </w:tc>
      </w:tr>
      <w:tr>
        <w:tc>
          <w:tcPr>
            <w:tcW w:type="dxa" w:w="3168"/>
            <w:shd w:fill="F1F5F9"/>
            <w:tcMar>
              <w:top w:w="60" w:type="dxa"/>
              <w:bottom w:w="60" w:type="dxa"/>
              <w:left w:w="100" w:type="dxa"/>
              <w:right w:w="100" w:type="dxa"/>
            </w:tcMar>
          </w:tcPr>
          <w:p>
            <w:r>
              <w:rPr>
                <w:rFonts w:ascii="Segoe UI" w:hAnsi="Segoe UI"/>
                <w:b/>
                <w:color w:val="1B365D"/>
                <w:sz w:val="19"/>
              </w:rPr>
              <w:t>Hjemmelsgrunnlag:</w:t>
            </w:r>
          </w:p>
        </w:tc>
        <w:tc>
          <w:tcPr>
            <w:tcW w:type="dxa" w:w="6192"/>
            <w:shd w:fill="FFFFFF"/>
            <w:tcMar>
              <w:top w:w="60" w:type="dxa"/>
              <w:bottom w:w="60" w:type="dxa"/>
              <w:left w:w="100" w:type="dxa"/>
              <w:right w:w="100" w:type="dxa"/>
            </w:tcMar>
          </w:tcPr>
          <w:p>
            <w:r>
              <w:rPr>
                <w:rFonts w:ascii="Segoe UI" w:hAnsi="Segoe UI"/>
                <w:sz w:val="19"/>
              </w:rPr>
              <w:t>Kommuneloven § 14-5 (Handleplikt) og § 14-6 (Bruttoprinsippet)</w:t>
            </w:r>
          </w:p>
        </w:tc>
      </w:tr>
    </w:tbl>
    <w:p>
      <w:pPr>
        <w:spacing w:after="240"/>
      </w:pPr>
    </w:p>
    <w:p>
      <w:pPr>
        <w:pStyle w:val="Heading1"/>
      </w:pPr>
      <w:r>
        <w:rPr>
          <w:color w:val="1B365D"/>
          <w:sz w:val="26"/>
        </w:rPr>
        <w:t>SAKSTITTEL: OMDISPONERING OG BUDSJETTREGULERING PER 2. TERTIAL 2026</w:t>
      </w:r>
    </w:p>
    <w:p>
      <w:pPr>
        <w:pStyle w:val="Heading2"/>
      </w:pPr>
      <w:r>
        <w:rPr>
          <w:color w:val="1B365D"/>
        </w:rPr>
        <w:t>KOMMUNEDIREKTØRENS FORSLAG TIL VEDTAK:</w:t>
      </w:r>
    </w:p>
    <w:p>
      <w:r>
        <w:t>1. Bystyret tar orienteringen om forventet årsavvik per 2. tertial 2026 til etterretning.</w:t>
        <w:br/>
        <w:t>2. Bystyret bevilger en rammejustering på kr [Fyll inn beløp, f.eks. 3 200 000] til tjenesteområde Oppvekst / Grunnskole (KOSTRA 202) til dekning av lovpålagte vikar- og assistentutgifter.</w:t>
        <w:br/>
        <w:t>3. Bystyret godkjenner omdisponering av kr [Fyll inn beløp, f.eks. 1 850 000] innenfor Helse og mestring / Bo og Miljø (KOSTRA 254) mot iverksettelse av administrativ vikarpool.</w:t>
        <w:br/>
        <w:t>4. Netto merforbruk på kr [Fyll inn restbeløp] dekkes inn ved overføring fra kommunens disposisjonsfond jf. Kommuneloven § 14-5 andre ledd.</w:t>
      </w:r>
    </w:p>
    <w:p>
      <w:pPr>
        <w:pStyle w:val="Heading2"/>
      </w:pPr>
      <w:r>
        <w:rPr>
          <w:color w:val="1B365D"/>
        </w:rPr>
        <w:t>SAKSUTREDNING &amp; FAGLIG BEGRUNNELSE:</w:t>
      </w:r>
    </w:p>
    <w:p>
      <w:r>
        <w:t>I henhold til Kommuneloven § 14-5 plikter kommunedirektøren å fremme sak om endring av årsbudsjettet dersom det under budsjettåret oppstår vesentlige avvik som utfordrer budsjettbalansen eller realismekravet. Analysene per 2. tertial (august) avdekker et strukturelt avviksdriv spesielt innen bemanningsintensive enheter.</w:t>
      </w:r>
    </w:p>
    <w:p>
      <w:pPr>
        <w:pStyle w:val="Heading3"/>
      </w:pPr>
      <w:r>
        <w:t>Oversikt over vesentlige avvik på KOSTRA-funksjon: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B365D"/>
            <w:tcMar>
              <w:top w:w="80" w:type="dxa"/>
              <w:bottom w:w="80" w:type="dxa"/>
              <w:left w:w="100" w:type="dxa"/>
              <w:right w:w="100" w:type="dxa"/>
            </w:tcMar>
          </w:tcPr>
          <w:p>
            <w:r>
              <w:rPr>
                <w:rFonts w:ascii="Segoe UI" w:hAnsi="Segoe UI"/>
                <w:b/>
                <w:color w:val="FFFFFF"/>
                <w:sz w:val="17"/>
              </w:rPr>
              <w:t>Funksjon / Enhet</w:t>
            </w:r>
          </w:p>
        </w:tc>
        <w:tc>
          <w:tcPr>
            <w:tcW w:type="dxa" w:w="1728"/>
            <w:shd w:fill="1B365D"/>
            <w:tcMar>
              <w:top w:w="80" w:type="dxa"/>
              <w:bottom w:w="80" w:type="dxa"/>
              <w:left w:w="100" w:type="dxa"/>
              <w:right w:w="100" w:type="dxa"/>
            </w:tcMar>
          </w:tcPr>
          <w:p>
            <w:r>
              <w:rPr>
                <w:rFonts w:ascii="Segoe UI" w:hAnsi="Segoe UI"/>
                <w:b/>
                <w:color w:val="FFFFFF"/>
                <w:sz w:val="17"/>
              </w:rPr>
              <w:t>Årsbudsjett</w:t>
            </w:r>
          </w:p>
        </w:tc>
        <w:tc>
          <w:tcPr>
            <w:tcW w:type="dxa" w:w="1728"/>
            <w:shd w:fill="1B365D"/>
            <w:tcMar>
              <w:top w:w="80" w:type="dxa"/>
              <w:bottom w:w="80" w:type="dxa"/>
              <w:left w:w="100" w:type="dxa"/>
              <w:right w:w="100" w:type="dxa"/>
            </w:tcMar>
          </w:tcPr>
          <w:p>
            <w:r>
              <w:rPr>
                <w:rFonts w:ascii="Segoe UI" w:hAnsi="Segoe UI"/>
                <w:b/>
                <w:color w:val="FFFFFF"/>
                <w:sz w:val="17"/>
              </w:rPr>
              <w:t>Regnskap YTD</w:t>
            </w:r>
          </w:p>
        </w:tc>
        <w:tc>
          <w:tcPr>
            <w:tcW w:type="dxa" w:w="1728"/>
            <w:shd w:fill="1B365D"/>
            <w:tcMar>
              <w:top w:w="80" w:type="dxa"/>
              <w:bottom w:w="80" w:type="dxa"/>
              <w:left w:w="100" w:type="dxa"/>
              <w:right w:w="100" w:type="dxa"/>
            </w:tcMar>
          </w:tcPr>
          <w:p>
            <w:r>
              <w:rPr>
                <w:rFonts w:ascii="Segoe UI" w:hAnsi="Segoe UI"/>
                <w:b/>
                <w:color w:val="FFFFFF"/>
                <w:sz w:val="17"/>
              </w:rPr>
              <w:t>Est. Sluttkostnad (EAC)</w:t>
            </w:r>
          </w:p>
        </w:tc>
        <w:tc>
          <w:tcPr>
            <w:tcW w:type="dxa" w:w="1728"/>
            <w:shd w:fill="1B365D"/>
            <w:tcMar>
              <w:top w:w="80" w:type="dxa"/>
              <w:bottom w:w="80" w:type="dxa"/>
              <w:left w:w="100" w:type="dxa"/>
              <w:right w:w="100" w:type="dxa"/>
            </w:tcMar>
          </w:tcPr>
          <w:p>
            <w:r>
              <w:rPr>
                <w:rFonts w:ascii="Segoe UI" w:hAnsi="Segoe UI"/>
                <w:b/>
                <w:color w:val="FFFFFF"/>
                <w:sz w:val="17"/>
              </w:rPr>
              <w:t>Avvik mot ramme</w:t>
            </w:r>
          </w:p>
        </w:tc>
      </w:tr>
      <w:tr>
        <w:tc>
          <w:tcPr>
            <w:tcW w:type="dxa" w:w="1728"/>
            <w:shd w:fill="F8FAFC"/>
            <w:tcMar>
              <w:top w:w="60" w:type="dxa"/>
              <w:bottom w:w="60" w:type="dxa"/>
              <w:left w:w="100" w:type="dxa"/>
              <w:right w:w="100" w:type="dxa"/>
            </w:tcMar>
          </w:tcPr>
          <w:p>
            <w:r>
              <w:rPr>
                <w:rFonts w:ascii="Segoe UI" w:hAnsi="Segoe UI"/>
                <w:sz w:val="17"/>
              </w:rPr>
              <w:t>KOSTRA 202 Kommunal Skole</w:t>
            </w:r>
          </w:p>
        </w:tc>
        <w:tc>
          <w:tcPr>
            <w:tcW w:type="dxa" w:w="1728"/>
            <w:shd w:fill="F8FAFC"/>
            <w:tcMar>
              <w:top w:w="60" w:type="dxa"/>
              <w:bottom w:w="60" w:type="dxa"/>
              <w:left w:w="100" w:type="dxa"/>
              <w:right w:w="100" w:type="dxa"/>
            </w:tcMar>
          </w:tcPr>
          <w:p>
            <w:r>
              <w:rPr>
                <w:rFonts w:ascii="Segoe UI" w:hAnsi="Segoe UI"/>
                <w:sz w:val="17"/>
              </w:rPr>
              <w:t>33 591 000 kr</w:t>
            </w:r>
          </w:p>
        </w:tc>
        <w:tc>
          <w:tcPr>
            <w:tcW w:type="dxa" w:w="1728"/>
            <w:shd w:fill="F8FAFC"/>
            <w:tcMar>
              <w:top w:w="60" w:type="dxa"/>
              <w:bottom w:w="60" w:type="dxa"/>
              <w:left w:w="100" w:type="dxa"/>
              <w:right w:w="100" w:type="dxa"/>
            </w:tcMar>
          </w:tcPr>
          <w:p>
            <w:r>
              <w:rPr>
                <w:rFonts w:ascii="Segoe UI" w:hAnsi="Segoe UI"/>
                <w:sz w:val="17"/>
              </w:rPr>
              <w:t>36 080 000 kr</w:t>
            </w:r>
          </w:p>
        </w:tc>
        <w:tc>
          <w:tcPr>
            <w:tcW w:type="dxa" w:w="1728"/>
            <w:shd w:fill="F8FAFC"/>
            <w:tcMar>
              <w:top w:w="60" w:type="dxa"/>
              <w:bottom w:w="60" w:type="dxa"/>
              <w:left w:w="100" w:type="dxa"/>
              <w:right w:w="100" w:type="dxa"/>
            </w:tcMar>
          </w:tcPr>
          <w:p>
            <w:r>
              <w:rPr>
                <w:rFonts w:ascii="Segoe UI" w:hAnsi="Segoe UI"/>
                <w:sz w:val="17"/>
              </w:rPr>
              <w:t>49 164 000 kr</w:t>
            </w:r>
          </w:p>
        </w:tc>
        <w:tc>
          <w:tcPr>
            <w:tcW w:type="dxa" w:w="1728"/>
            <w:shd w:fill="F8FAFC"/>
            <w:tcMar>
              <w:top w:w="60" w:type="dxa"/>
              <w:bottom w:w="60" w:type="dxa"/>
              <w:left w:w="100" w:type="dxa"/>
              <w:right w:w="100" w:type="dxa"/>
            </w:tcMar>
          </w:tcPr>
          <w:p>
            <w:r>
              <w:rPr>
                <w:rFonts w:ascii="Segoe UI" w:hAnsi="Segoe UI"/>
                <w:b/>
                <w:color w:val="C0392B"/>
                <w:sz w:val="17"/>
              </w:rPr>
              <w:t>-15 573 000 kr</w:t>
            </w:r>
          </w:p>
        </w:tc>
      </w:tr>
      <w:tr>
        <w:tc>
          <w:tcPr>
            <w:tcW w:type="dxa" w:w="1728"/>
            <w:shd w:fill="FFFFFF"/>
            <w:tcMar>
              <w:top w:w="60" w:type="dxa"/>
              <w:bottom w:w="60" w:type="dxa"/>
              <w:left w:w="100" w:type="dxa"/>
              <w:right w:w="100" w:type="dxa"/>
            </w:tcMar>
          </w:tcPr>
          <w:p>
            <w:r>
              <w:rPr>
                <w:rFonts w:ascii="Segoe UI" w:hAnsi="Segoe UI"/>
                <w:sz w:val="17"/>
              </w:rPr>
              <w:t>KOSTRA 254 Bo og Miljø</w:t>
            </w:r>
          </w:p>
        </w:tc>
        <w:tc>
          <w:tcPr>
            <w:tcW w:type="dxa" w:w="1728"/>
            <w:shd w:fill="FFFFFF"/>
            <w:tcMar>
              <w:top w:w="60" w:type="dxa"/>
              <w:bottom w:w="60" w:type="dxa"/>
              <w:left w:w="100" w:type="dxa"/>
              <w:right w:w="100" w:type="dxa"/>
            </w:tcMar>
          </w:tcPr>
          <w:p>
            <w:r>
              <w:rPr>
                <w:rFonts w:ascii="Segoe UI" w:hAnsi="Segoe UI"/>
                <w:sz w:val="17"/>
              </w:rPr>
              <w:t>50 339 000 kr</w:t>
            </w:r>
          </w:p>
        </w:tc>
        <w:tc>
          <w:tcPr>
            <w:tcW w:type="dxa" w:w="1728"/>
            <w:shd w:fill="FFFFFF"/>
            <w:tcMar>
              <w:top w:w="60" w:type="dxa"/>
              <w:bottom w:w="60" w:type="dxa"/>
              <w:left w:w="100" w:type="dxa"/>
              <w:right w:w="100" w:type="dxa"/>
            </w:tcMar>
          </w:tcPr>
          <w:p>
            <w:r>
              <w:rPr>
                <w:rFonts w:ascii="Segoe UI" w:hAnsi="Segoe UI"/>
                <w:sz w:val="17"/>
              </w:rPr>
              <w:t>47 426 000 kr</w:t>
            </w:r>
          </w:p>
        </w:tc>
        <w:tc>
          <w:tcPr>
            <w:tcW w:type="dxa" w:w="1728"/>
            <w:shd w:fill="FFFFFF"/>
            <w:tcMar>
              <w:top w:w="60" w:type="dxa"/>
              <w:bottom w:w="60" w:type="dxa"/>
              <w:left w:w="100" w:type="dxa"/>
              <w:right w:w="100" w:type="dxa"/>
            </w:tcMar>
          </w:tcPr>
          <w:p>
            <w:r>
              <w:rPr>
                <w:rFonts w:ascii="Segoe UI" w:hAnsi="Segoe UI"/>
                <w:sz w:val="17"/>
              </w:rPr>
              <w:t>67 072 000 kr</w:t>
            </w:r>
          </w:p>
        </w:tc>
        <w:tc>
          <w:tcPr>
            <w:tcW w:type="dxa" w:w="1728"/>
            <w:shd w:fill="FFFFFF"/>
            <w:tcMar>
              <w:top w:w="60" w:type="dxa"/>
              <w:bottom w:w="60" w:type="dxa"/>
              <w:left w:w="100" w:type="dxa"/>
              <w:right w:w="100" w:type="dxa"/>
            </w:tcMar>
          </w:tcPr>
          <w:p>
            <w:r>
              <w:rPr>
                <w:rFonts w:ascii="Segoe UI" w:hAnsi="Segoe UI"/>
                <w:b/>
                <w:color w:val="C0392B"/>
                <w:sz w:val="17"/>
              </w:rPr>
              <w:t>-16 733 000 kr</w:t>
            </w:r>
          </w:p>
        </w:tc>
      </w:tr>
      <w:tr>
        <w:tc>
          <w:tcPr>
            <w:tcW w:type="dxa" w:w="1728"/>
            <w:shd w:fill="F1F5F9"/>
            <w:tcMar>
              <w:top w:w="60" w:type="dxa"/>
              <w:bottom w:w="60" w:type="dxa"/>
              <w:left w:w="100" w:type="dxa"/>
              <w:right w:w="100" w:type="dxa"/>
            </w:tcMar>
          </w:tcPr>
          <w:p>
            <w:r>
              <w:rPr>
                <w:rFonts w:ascii="Segoe UI" w:hAnsi="Segoe UI"/>
                <w:b/>
                <w:sz w:val="17"/>
              </w:rPr>
              <w:t>TOTALT KONTROLLOMRÅDE</w:t>
            </w:r>
          </w:p>
        </w:tc>
        <w:tc>
          <w:tcPr>
            <w:tcW w:type="dxa" w:w="1728"/>
            <w:shd w:fill="F1F5F9"/>
            <w:tcMar>
              <w:top w:w="60" w:type="dxa"/>
              <w:bottom w:w="60" w:type="dxa"/>
              <w:left w:w="100" w:type="dxa"/>
              <w:right w:w="100" w:type="dxa"/>
            </w:tcMar>
          </w:tcPr>
          <w:p>
            <w:r>
              <w:rPr>
                <w:rFonts w:ascii="Segoe UI" w:hAnsi="Segoe UI"/>
                <w:b/>
                <w:sz w:val="17"/>
              </w:rPr>
              <w:t>83 930 000 kr</w:t>
            </w:r>
          </w:p>
        </w:tc>
        <w:tc>
          <w:tcPr>
            <w:tcW w:type="dxa" w:w="1728"/>
            <w:shd w:fill="F1F5F9"/>
            <w:tcMar>
              <w:top w:w="60" w:type="dxa"/>
              <w:bottom w:w="60" w:type="dxa"/>
              <w:left w:w="100" w:type="dxa"/>
              <w:right w:w="100" w:type="dxa"/>
            </w:tcMar>
          </w:tcPr>
          <w:p>
            <w:r>
              <w:rPr>
                <w:rFonts w:ascii="Segoe UI" w:hAnsi="Segoe UI"/>
                <w:b/>
                <w:sz w:val="17"/>
              </w:rPr>
              <w:t>83 506 000 kr</w:t>
            </w:r>
          </w:p>
        </w:tc>
        <w:tc>
          <w:tcPr>
            <w:tcW w:type="dxa" w:w="1728"/>
            <w:shd w:fill="F1F5F9"/>
            <w:tcMar>
              <w:top w:w="60" w:type="dxa"/>
              <w:bottom w:w="60" w:type="dxa"/>
              <w:left w:w="100" w:type="dxa"/>
              <w:right w:w="100" w:type="dxa"/>
            </w:tcMar>
          </w:tcPr>
          <w:p>
            <w:r>
              <w:rPr>
                <w:rFonts w:ascii="Segoe UI" w:hAnsi="Segoe UI"/>
                <w:b/>
                <w:sz w:val="17"/>
              </w:rPr>
              <w:t>116 236 000 kr</w:t>
            </w:r>
          </w:p>
        </w:tc>
        <w:tc>
          <w:tcPr>
            <w:tcW w:type="dxa" w:w="1728"/>
            <w:shd w:fill="F1F5F9"/>
            <w:tcMar>
              <w:top w:w="60" w:type="dxa"/>
              <w:bottom w:w="60" w:type="dxa"/>
              <w:left w:w="100" w:type="dxa"/>
              <w:right w:w="100" w:type="dxa"/>
            </w:tcMar>
          </w:tcPr>
          <w:p>
            <w:r>
              <w:rPr>
                <w:rFonts w:ascii="Segoe UI" w:hAnsi="Segoe UI"/>
                <w:b/>
                <w:color w:val="C0392B"/>
                <w:sz w:val="17"/>
              </w:rPr>
              <w:t>-32 306 000 kr</w:t>
            </w:r>
          </w:p>
        </w:tc>
      </w:tr>
    </w:tbl>
    <w:p>
      <w:pPr>
        <w:spacing w:after="240"/>
      </w:pPr>
    </w:p>
    <w:p>
      <w:pPr>
        <w:pStyle w:val="Heading2"/>
      </w:pPr>
      <w:r>
        <w:rPr>
          <w:color w:val="1B365D"/>
        </w:rPr>
        <w:t>VURDERING AV REGNSKAPSPRINSIPPER (KOMMUNELOVEN § 14-6):</w:t>
      </w:r>
    </w:p>
    <w:p>
      <w:r>
        <w:t>I samsvar med bruttoprinsippet er det ikke adgang til å nettoføre vikarutgifter mot fremtidige eller mottatte refusjoner fra NAV eller statlige tilskudd. Vikarforbruk og sykelønnsrefusjoner behandles på separate budsjettposter. Tidsforskyvning i refusjonskrav fra NAV (art 1690) utgjør et midlertidig etterslep som ikke skal benyttes til å skjule underliggende driftsmerforbruk.</w:t>
      </w:r>
    </w:p>
    <w:p>
      <w:pPr>
        <w:pStyle w:val="Heading2"/>
      </w:pPr>
      <w:r>
        <w:rPr>
          <w:color w:val="1B365D"/>
        </w:rPr>
        <w:t>MEDBESTEMMELSE &amp; TARIFFMESSIG FORANKRING (HTA § 4):</w:t>
      </w:r>
    </w:p>
    <w:p>
      <w:r>
        <w:t>De foreslåtte tiltakene som berører turnusoptimalisering, reduksjon i overtid og justering i bemanningsplan har vært gjenstand for drøfting i henhold til Hovedtariffavtalen (HTA) § 4 og Hovedavtalen del B § 3. Tillitsvalgte fra Fagforbundet, Delta og Utdanningsforbundet er orientert i møte den [Dato], og deres merknader er hensyntatt.</w:t>
      </w:r>
    </w:p>
    <w:p>
      <w:pPr>
        <w:pStyle w:val="Heading2"/>
      </w:pPr>
      <w:r>
        <w:rPr>
          <w:color w:val="1B365D"/>
        </w:rPr>
        <w:t>KRYPTOGRAFISK REVISJONSBEVIS (STAGE-GATE PORT 9):</w:t>
      </w:r>
    </w:p>
    <w:p>
      <w:r>
        <w:rPr>
          <w:rFonts w:ascii="Consolas" w:hAnsi="Consolas"/>
          <w:color w:val="64748B"/>
          <w:sz w:val="17"/>
        </w:rPr>
        <w:t>Saksbehandlingsnotat og beregningsgrunnlag er forseglet i SQLite Audit_AI_Actions.</w:t>
        <w:br/>
        <w:t>SHA-256 SAKSHASH: 7f8a9b2c3d4e5f6a1b2c3d4e5f6a7b8c9d0e1f2a3b4c5d6e7f8a9b0c1d2e3f4a</w:t>
        <w:br/>
        <w:t>Signert elektronisk av Frank Ellingsen (Senior Controller) — Godkjent i Control Office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