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002B49"/>
          <w:sz w:val="32"/>
        </w:rPr>
        <w:t>SAKSFREMLEGG FOR POLITISK BEHANDLING</w:t>
      </w:r>
    </w:p>
    <w:p>
      <w:pPr>
        <w:spacing w:after="240"/>
      </w:pPr>
      <w:r>
        <w:rPr>
          <w:b/>
          <w:color w:val="505050"/>
          <w:sz w:val="24"/>
        </w:rPr>
        <w:t>Kristiansand kommune — Formannskapet og Bystyret</w:t>
      </w:r>
    </w:p>
    <w:tbl>
      <w:tblPr>
        <w:tblW w:type="auto" w:w="0"/>
        <w:jc w:val="center"/>
        <w:tblLayout w:type="fixed"/>
        <w:tblLook w:firstColumn="1" w:firstRow="1" w:lastColumn="0" w:lastRow="0" w:noHBand="0" w:noVBand="1" w:val="04A0"/>
      </w:tblPr>
      <w:tblGrid>
        <w:gridCol w:w="4680"/>
        <w:gridCol w:w="4680"/>
      </w:tblGrid>
      <w:tr>
        <w:tc>
          <w:tcPr>
            <w:tcW w:type="dxa" w:w="2880"/>
            <w:shd w:fill="F2F2F2" w:val="clear"/>
            <w:tcMar>
              <w:top w:w="80" w:type="dxa"/>
              <w:bottom w:w="80" w:type="dxa"/>
              <w:left w:w="100" w:type="dxa"/>
              <w:right w:w="100" w:type="dxa"/>
            </w:tcMar>
          </w:tcPr>
          <w:p>
            <w:r>
              <w:rPr>
                <w:b/>
                <w:sz w:val="20"/>
              </w:rPr>
              <w:t>Arkivsak / Ref:</w:t>
            </w:r>
          </w:p>
        </w:tc>
        <w:tc>
          <w:tcPr>
            <w:tcW w:type="dxa" w:w="6480"/>
            <w:shd w:fill="FAFAFA" w:val="clear"/>
            <w:tcMar>
              <w:top w:w="80" w:type="dxa"/>
              <w:bottom w:w="80" w:type="dxa"/>
              <w:left w:w="100" w:type="dxa"/>
              <w:right w:w="100" w:type="dxa"/>
            </w:tcMar>
          </w:tcPr>
          <w:p>
            <w:r>
              <w:rPr>
                <w:sz w:val="20"/>
              </w:rPr>
              <w:t>26/10420-1 | Kommunedirektørens fagnotat</w:t>
            </w:r>
          </w:p>
        </w:tc>
      </w:tr>
      <w:tr>
        <w:tc>
          <w:tcPr>
            <w:tcW w:type="dxa" w:w="2880"/>
            <w:shd w:fill="F2F2F2" w:val="clear"/>
            <w:tcMar>
              <w:top w:w="80" w:type="dxa"/>
              <w:bottom w:w="80" w:type="dxa"/>
              <w:left w:w="100" w:type="dxa"/>
              <w:right w:w="100" w:type="dxa"/>
            </w:tcMar>
          </w:tcPr>
          <w:p>
            <w:r>
              <w:rPr>
                <w:b/>
                <w:sz w:val="20"/>
              </w:rPr>
              <w:t>Dato for behandling:</w:t>
            </w:r>
          </w:p>
        </w:tc>
        <w:tc>
          <w:tcPr>
            <w:tcW w:type="dxa" w:w="6480"/>
            <w:shd w:fill="FAFAFA" w:val="clear"/>
            <w:tcMar>
              <w:top w:w="80" w:type="dxa"/>
              <w:bottom w:w="80" w:type="dxa"/>
              <w:left w:w="100" w:type="dxa"/>
              <w:right w:w="100" w:type="dxa"/>
            </w:tcMar>
          </w:tcPr>
          <w:p>
            <w:r>
              <w:rPr>
                <w:sz w:val="20"/>
              </w:rPr>
              <w:t>19. oktober 2026</w:t>
            </w:r>
          </w:p>
        </w:tc>
      </w:tr>
      <w:tr>
        <w:tc>
          <w:tcPr>
            <w:tcW w:type="dxa" w:w="2880"/>
            <w:shd w:fill="F2F2F2" w:val="clear"/>
            <w:tcMar>
              <w:top w:w="80" w:type="dxa"/>
              <w:bottom w:w="80" w:type="dxa"/>
              <w:left w:w="100" w:type="dxa"/>
              <w:right w:w="100" w:type="dxa"/>
            </w:tcMar>
          </w:tcPr>
          <w:p>
            <w:r>
              <w:rPr>
                <w:b/>
                <w:sz w:val="20"/>
              </w:rPr>
              <w:t>Saksbehandler:</w:t>
            </w:r>
          </w:p>
        </w:tc>
        <w:tc>
          <w:tcPr>
            <w:tcW w:type="dxa" w:w="6480"/>
            <w:shd w:fill="FAFAFA" w:val="clear"/>
            <w:tcMar>
              <w:top w:w="80" w:type="dxa"/>
              <w:bottom w:w="80" w:type="dxa"/>
              <w:left w:w="100" w:type="dxa"/>
              <w:right w:w="100" w:type="dxa"/>
            </w:tcMar>
          </w:tcPr>
          <w:p>
            <w:r>
              <w:rPr>
                <w:sz w:val="20"/>
              </w:rPr>
              <w:t>Kommunedirektøren / Økonomiavdelingen (AI_KOM Hub)</w:t>
            </w:r>
          </w:p>
        </w:tc>
      </w:tr>
      <w:tr>
        <w:tc>
          <w:tcPr>
            <w:tcW w:type="dxa" w:w="2880"/>
            <w:shd w:fill="F2F2F2" w:val="clear"/>
            <w:tcMar>
              <w:top w:w="80" w:type="dxa"/>
              <w:bottom w:w="80" w:type="dxa"/>
              <w:left w:w="100" w:type="dxa"/>
              <w:right w:w="100" w:type="dxa"/>
            </w:tcMar>
          </w:tcPr>
          <w:p>
            <w:r>
              <w:rPr>
                <w:b/>
                <w:sz w:val="20"/>
              </w:rPr>
              <w:t>Saksangivelse:</w:t>
            </w:r>
          </w:p>
        </w:tc>
        <w:tc>
          <w:tcPr>
            <w:tcW w:type="dxa" w:w="6480"/>
            <w:shd w:fill="FAFAFA" w:val="clear"/>
            <w:tcMar>
              <w:top w:w="80" w:type="dxa"/>
              <w:bottom w:w="80" w:type="dxa"/>
              <w:left w:w="100" w:type="dxa"/>
              <w:right w:w="100" w:type="dxa"/>
            </w:tcMar>
          </w:tcPr>
          <w:p>
            <w:r>
              <w:rPr>
                <w:sz w:val="20"/>
              </w:rPr>
              <w:t>2. tertialrapport 2026 – Økonomisk status, prognose og tiltak jf. Kommuneloven § 14-5</w:t>
            </w:r>
          </w:p>
        </w:tc>
      </w:tr>
    </w:tbl>
    <w:p>
      <w:pPr>
        <w:spacing w:after="240"/>
      </w:pPr>
    </w:p>
    <w:p>
      <w:pPr>
        <w:pStyle w:val="Heading1"/>
      </w:pPr>
      <w:r>
        <w:rPr>
          <w:b/>
          <w:color w:val="002B49"/>
          <w:sz w:val="28"/>
        </w:rPr>
        <w:t>1. Kommunedirektørens Innstilling (Vedtakspunkter)</w:t>
      </w:r>
    </w:p>
    <w:p>
      <w:r>
        <w:t>Kommunedirektøren legger med dette frem forslag til vedtak i Formannskapet og Bystyret:</w:t>
        <w:br/>
      </w:r>
    </w:p>
    <w:p>
      <w:pPr>
        <w:spacing w:after="80"/>
        <w:ind w:left="360"/>
      </w:pPr>
      <w:r>
        <w:rPr>
          <w:b/>
        </w:rPr>
        <w:t xml:space="preserve">1. </w:t>
      </w:r>
      <w:r>
        <w:t>2. tertialrapport 2026 for Kristiansand kommune tas til orientering.</w:t>
      </w:r>
    </w:p>
    <w:p>
      <w:pPr>
        <w:spacing w:after="80"/>
        <w:ind w:left="360"/>
      </w:pPr>
      <w:r>
        <w:rPr>
          <w:b/>
        </w:rPr>
        <w:t xml:space="preserve">2. </w:t>
      </w:r>
      <w:r>
        <w:t>Det godkjennes en omdisponering av 8,85 MNOK i mindreforbruk fra Virksomhetsområde Oppvekst til dekning av økt tjenestebehov i Virksomhetsområde Helse og Mestring jf. Kommuneloven § 14-5.</w:t>
      </w:r>
    </w:p>
    <w:p>
      <w:pPr>
        <w:spacing w:after="80"/>
        <w:ind w:left="360"/>
      </w:pPr>
      <w:r>
        <w:rPr>
          <w:b/>
        </w:rPr>
        <w:t xml:space="preserve">3. </w:t>
      </w:r>
      <w:r>
        <w:t>Kommunedirektøren pålegges å iverksette målrettede tiltak innenfor Helse og Mestring (Ansvar 5200 / KOSTRA 254) for å redusere overtid og vikarbruk (Art 1090/1100), samt fremskynde avstemming av NAV-sykelønnsrefusjoner (Art 1600) jf. Folketrygdloven § 22-13.</w:t>
      </w:r>
    </w:p>
    <w:p>
      <w:pPr>
        <w:spacing w:after="80"/>
        <w:ind w:left="360"/>
      </w:pPr>
      <w:r>
        <w:rPr>
          <w:b/>
        </w:rPr>
        <w:t xml:space="preserve">4. </w:t>
      </w:r>
      <w:r>
        <w:t>Endringene innarbeides i revidert årsbudsjett 2026 og legges til grunn for Økonomiplan 2027–2030.</w:t>
      </w:r>
    </w:p>
    <w:p>
      <w:pPr>
        <w:spacing w:after="160"/>
      </w:pPr>
    </w:p>
    <w:p>
      <w:pPr>
        <w:pStyle w:val="Heading1"/>
      </w:pPr>
      <w:r>
        <w:rPr>
          <w:b/>
          <w:color w:val="002B49"/>
          <w:sz w:val="28"/>
        </w:rPr>
        <w:t>2. Hovedtall og Sektoroversikt (7,24 BNOK Ramme)</w:t>
      </w:r>
    </w:p>
    <w:p>
      <w:r>
        <w:t>Per 2. tertial 2026 viser Kristiansand kommunes samlede driftsregnskap et nettomerforbruk på 10,10 MNOK mot korrigert budsjettramme. Den økonomiske utviklingen preges av et betydelig press innen pleie, omsorg og sykehjemstjenester, mens øvrige sektorer utviser god budsjettdisiplin eller mindreforbruk.</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024"/>
            <w:shd w:fill="002B49" w:val="clear"/>
            <w:tcMar>
              <w:top w:w="100" w:type="dxa"/>
              <w:bottom w:w="100" w:type="dxa"/>
              <w:left w:w="100" w:type="dxa"/>
              <w:right w:w="100" w:type="dxa"/>
            </w:tcMar>
          </w:tcPr>
          <w:p>
            <w:pPr>
              <w:jc w:val="left"/>
            </w:pPr>
            <w:r>
              <w:rPr>
                <w:b/>
                <w:color w:val="FFFFFF"/>
                <w:sz w:val="19"/>
              </w:rPr>
              <w:t>Virksomhetsområde</w:t>
            </w:r>
          </w:p>
        </w:tc>
        <w:tc>
          <w:tcPr>
            <w:tcW w:type="dxa" w:w="1008"/>
            <w:shd w:fill="002B49" w:val="clear"/>
            <w:tcMar>
              <w:top w:w="100" w:type="dxa"/>
              <w:bottom w:w="100" w:type="dxa"/>
              <w:left w:w="100" w:type="dxa"/>
              <w:right w:w="100" w:type="dxa"/>
            </w:tcMar>
          </w:tcPr>
          <w:p>
            <w:pPr>
              <w:jc w:val="center"/>
            </w:pPr>
            <w:r>
              <w:rPr>
                <w:b/>
                <w:color w:val="FFFFFF"/>
                <w:sz w:val="19"/>
              </w:rPr>
              <w:t>Enheter</w:t>
            </w:r>
          </w:p>
        </w:tc>
        <w:tc>
          <w:tcPr>
            <w:tcW w:type="dxa" w:w="1584"/>
            <w:shd w:fill="002B49" w:val="clear"/>
            <w:tcMar>
              <w:top w:w="100" w:type="dxa"/>
              <w:bottom w:w="100" w:type="dxa"/>
              <w:left w:w="100" w:type="dxa"/>
              <w:right w:w="100" w:type="dxa"/>
            </w:tcMar>
          </w:tcPr>
          <w:p>
            <w:pPr>
              <w:jc w:val="center"/>
            </w:pPr>
            <w:r>
              <w:rPr>
                <w:b/>
                <w:color w:val="FFFFFF"/>
                <w:sz w:val="19"/>
              </w:rPr>
              <w:t>Budsjett (MNOK)</w:t>
            </w:r>
          </w:p>
        </w:tc>
        <w:tc>
          <w:tcPr>
            <w:tcW w:type="dxa" w:w="1584"/>
            <w:shd w:fill="002B49" w:val="clear"/>
            <w:tcMar>
              <w:top w:w="100" w:type="dxa"/>
              <w:bottom w:w="100" w:type="dxa"/>
              <w:left w:w="100" w:type="dxa"/>
              <w:right w:w="100" w:type="dxa"/>
            </w:tcMar>
          </w:tcPr>
          <w:p>
            <w:pPr>
              <w:jc w:val="center"/>
            </w:pPr>
            <w:r>
              <w:rPr>
                <w:b/>
                <w:color w:val="FFFFFF"/>
                <w:sz w:val="19"/>
              </w:rPr>
              <w:t>Regnskap YTD</w:t>
            </w:r>
          </w:p>
        </w:tc>
        <w:tc>
          <w:tcPr>
            <w:tcW w:type="dxa" w:w="1584"/>
            <w:shd w:fill="002B49" w:val="clear"/>
            <w:tcMar>
              <w:top w:w="100" w:type="dxa"/>
              <w:bottom w:w="100" w:type="dxa"/>
              <w:left w:w="100" w:type="dxa"/>
              <w:right w:w="100" w:type="dxa"/>
            </w:tcMar>
          </w:tcPr>
          <w:p>
            <w:pPr>
              <w:jc w:val="center"/>
            </w:pPr>
            <w:r>
              <w:rPr>
                <w:b/>
                <w:color w:val="FFFFFF"/>
                <w:sz w:val="19"/>
              </w:rPr>
              <w:t>Avvik (MNOK)</w:t>
            </w:r>
          </w:p>
        </w:tc>
        <w:tc>
          <w:tcPr>
            <w:tcW w:type="dxa" w:w="1296"/>
            <w:shd w:fill="002B49" w:val="clear"/>
            <w:tcMar>
              <w:top w:w="100" w:type="dxa"/>
              <w:bottom w:w="100" w:type="dxa"/>
              <w:left w:w="100" w:type="dxa"/>
              <w:right w:w="100" w:type="dxa"/>
            </w:tcMar>
          </w:tcPr>
          <w:p>
            <w:pPr>
              <w:jc w:val="center"/>
            </w:pPr>
            <w:r>
              <w:rPr>
                <w:b/>
                <w:color w:val="FFFFFF"/>
                <w:sz w:val="19"/>
              </w:rPr>
              <w:t>RAG Status</w:t>
            </w:r>
          </w:p>
        </w:tc>
      </w:tr>
      <w:tr>
        <w:tc>
          <w:tcPr>
            <w:tcW w:type="dxa" w:w="3024"/>
            <w:shd w:fill="F9F9F9" w:val="clear"/>
            <w:tcMar>
              <w:top w:w="80" w:type="dxa"/>
              <w:bottom w:w="80" w:type="dxa"/>
              <w:left w:w="80" w:type="dxa"/>
              <w:right w:w="80" w:type="dxa"/>
            </w:tcMar>
          </w:tcPr>
          <w:p>
            <w:pPr>
              <w:jc w:val="left"/>
            </w:pPr>
            <w:r>
              <w:rPr>
                <w:sz w:val="19"/>
              </w:rPr>
              <w:t>Oppvekst</w:t>
            </w:r>
          </w:p>
        </w:tc>
        <w:tc>
          <w:tcPr>
            <w:tcW w:type="dxa" w:w="1008"/>
            <w:shd w:fill="F9F9F9" w:val="clear"/>
            <w:tcMar>
              <w:top w:w="80" w:type="dxa"/>
              <w:bottom w:w="80" w:type="dxa"/>
              <w:left w:w="80" w:type="dxa"/>
              <w:right w:w="80" w:type="dxa"/>
            </w:tcMar>
          </w:tcPr>
          <w:p>
            <w:pPr>
              <w:jc w:val="center"/>
            </w:pPr>
            <w:r>
              <w:rPr>
                <w:sz w:val="19"/>
              </w:rPr>
              <w:t>18</w:t>
            </w:r>
          </w:p>
        </w:tc>
        <w:tc>
          <w:tcPr>
            <w:tcW w:type="dxa" w:w="1584"/>
            <w:shd w:fill="F9F9F9" w:val="clear"/>
            <w:tcMar>
              <w:top w:w="80" w:type="dxa"/>
              <w:bottom w:w="80" w:type="dxa"/>
              <w:left w:w="80" w:type="dxa"/>
              <w:right w:w="80" w:type="dxa"/>
            </w:tcMar>
          </w:tcPr>
          <w:p>
            <w:pPr>
              <w:jc w:val="right"/>
            </w:pPr>
            <w:r>
              <w:rPr>
                <w:sz w:val="19"/>
              </w:rPr>
              <w:t>2 150.0</w:t>
            </w:r>
          </w:p>
        </w:tc>
        <w:tc>
          <w:tcPr>
            <w:tcW w:type="dxa" w:w="1584"/>
            <w:shd w:fill="F9F9F9" w:val="clear"/>
            <w:tcMar>
              <w:top w:w="80" w:type="dxa"/>
              <w:bottom w:w="80" w:type="dxa"/>
              <w:left w:w="80" w:type="dxa"/>
              <w:right w:w="80" w:type="dxa"/>
            </w:tcMar>
          </w:tcPr>
          <w:p>
            <w:pPr>
              <w:jc w:val="right"/>
            </w:pPr>
            <w:r>
              <w:rPr>
                <w:sz w:val="19"/>
              </w:rPr>
              <w:t>1 421.2</w:t>
            </w:r>
          </w:p>
        </w:tc>
        <w:tc>
          <w:tcPr>
            <w:tcW w:type="dxa" w:w="1584"/>
            <w:shd w:fill="F9F9F9" w:val="clear"/>
            <w:tcMar>
              <w:top w:w="80" w:type="dxa"/>
              <w:bottom w:w="80" w:type="dxa"/>
              <w:left w:w="80" w:type="dxa"/>
              <w:right w:w="80" w:type="dxa"/>
            </w:tcMar>
          </w:tcPr>
          <w:p>
            <w:pPr>
              <w:jc w:val="right"/>
            </w:pPr>
            <w:r>
              <w:rPr>
                <w:color w:val="388E3C"/>
                <w:sz w:val="19"/>
              </w:rPr>
              <w:t>+8.85</w:t>
            </w:r>
          </w:p>
        </w:tc>
        <w:tc>
          <w:tcPr>
            <w:tcW w:type="dxa" w:w="1296"/>
            <w:shd w:fill="F9F9F9" w:val="clear"/>
            <w:tcMar>
              <w:top w:w="80" w:type="dxa"/>
              <w:bottom w:w="80" w:type="dxa"/>
              <w:left w:w="80" w:type="dxa"/>
              <w:right w:w="80" w:type="dxa"/>
            </w:tcMar>
          </w:tcPr>
          <w:p>
            <w:pPr>
              <w:jc w:val="center"/>
            </w:pPr>
            <w:r>
              <w:rPr>
                <w:sz w:val="19"/>
              </w:rPr>
              <w:t>🟢 Grønn</w:t>
            </w:r>
          </w:p>
        </w:tc>
      </w:tr>
      <w:tr>
        <w:tc>
          <w:tcPr>
            <w:tcW w:type="dxa" w:w="3024"/>
            <w:shd w:fill="FFFFFF" w:val="clear"/>
            <w:tcMar>
              <w:top w:w="80" w:type="dxa"/>
              <w:bottom w:w="80" w:type="dxa"/>
              <w:left w:w="80" w:type="dxa"/>
              <w:right w:w="80" w:type="dxa"/>
            </w:tcMar>
          </w:tcPr>
          <w:p>
            <w:pPr>
              <w:jc w:val="left"/>
            </w:pPr>
            <w:r>
              <w:rPr>
                <w:sz w:val="19"/>
              </w:rPr>
              <w:t>Helse og mestring</w:t>
            </w:r>
          </w:p>
        </w:tc>
        <w:tc>
          <w:tcPr>
            <w:tcW w:type="dxa" w:w="1008"/>
            <w:shd w:fill="FFFFFF" w:val="clear"/>
            <w:tcMar>
              <w:top w:w="80" w:type="dxa"/>
              <w:bottom w:w="80" w:type="dxa"/>
              <w:left w:w="80" w:type="dxa"/>
              <w:right w:w="80" w:type="dxa"/>
            </w:tcMar>
          </w:tcPr>
          <w:p>
            <w:pPr>
              <w:jc w:val="center"/>
            </w:pPr>
            <w:r>
              <w:rPr>
                <w:sz w:val="19"/>
              </w:rPr>
              <w:t>22</w:t>
            </w:r>
          </w:p>
        </w:tc>
        <w:tc>
          <w:tcPr>
            <w:tcW w:type="dxa" w:w="1584"/>
            <w:shd w:fill="FFFFFF" w:val="clear"/>
            <w:tcMar>
              <w:top w:w="80" w:type="dxa"/>
              <w:bottom w:w="80" w:type="dxa"/>
              <w:left w:w="80" w:type="dxa"/>
              <w:right w:w="80" w:type="dxa"/>
            </w:tcMar>
          </w:tcPr>
          <w:p>
            <w:pPr>
              <w:jc w:val="right"/>
            </w:pPr>
            <w:r>
              <w:rPr>
                <w:sz w:val="19"/>
              </w:rPr>
              <w:t>2 840.0</w:t>
            </w:r>
          </w:p>
        </w:tc>
        <w:tc>
          <w:tcPr>
            <w:tcW w:type="dxa" w:w="1584"/>
            <w:shd w:fill="FFFFFF" w:val="clear"/>
            <w:tcMar>
              <w:top w:w="80" w:type="dxa"/>
              <w:bottom w:w="80" w:type="dxa"/>
              <w:left w:w="80" w:type="dxa"/>
              <w:right w:w="80" w:type="dxa"/>
            </w:tcMar>
          </w:tcPr>
          <w:p>
            <w:pPr>
              <w:jc w:val="right"/>
            </w:pPr>
            <w:r>
              <w:rPr>
                <w:sz w:val="19"/>
              </w:rPr>
              <w:t>1 914.8</w:t>
            </w:r>
          </w:p>
        </w:tc>
        <w:tc>
          <w:tcPr>
            <w:tcW w:type="dxa" w:w="1584"/>
            <w:shd w:fill="FFFFFF" w:val="clear"/>
            <w:tcMar>
              <w:top w:w="80" w:type="dxa"/>
              <w:bottom w:w="80" w:type="dxa"/>
              <w:left w:w="80" w:type="dxa"/>
              <w:right w:w="80" w:type="dxa"/>
            </w:tcMar>
          </w:tcPr>
          <w:p>
            <w:pPr>
              <w:jc w:val="right"/>
            </w:pPr>
            <w:r>
              <w:rPr>
                <w:b/>
                <w:color w:val="D32F2F"/>
                <w:sz w:val="19"/>
              </w:rPr>
              <w:t>-21.50</w:t>
            </w:r>
          </w:p>
        </w:tc>
        <w:tc>
          <w:tcPr>
            <w:tcW w:type="dxa" w:w="1296"/>
            <w:shd w:fill="FFFFFF" w:val="clear"/>
            <w:tcMar>
              <w:top w:w="80" w:type="dxa"/>
              <w:bottom w:w="80" w:type="dxa"/>
              <w:left w:w="80" w:type="dxa"/>
              <w:right w:w="80" w:type="dxa"/>
            </w:tcMar>
          </w:tcPr>
          <w:p>
            <w:pPr>
              <w:jc w:val="center"/>
            </w:pPr>
            <w:r>
              <w:rPr>
                <w:sz w:val="19"/>
              </w:rPr>
              <w:t>🔴 Rød</w:t>
            </w:r>
          </w:p>
        </w:tc>
      </w:tr>
      <w:tr>
        <w:tc>
          <w:tcPr>
            <w:tcW w:type="dxa" w:w="3024"/>
            <w:shd w:fill="F9F9F9" w:val="clear"/>
            <w:tcMar>
              <w:top w:w="80" w:type="dxa"/>
              <w:bottom w:w="80" w:type="dxa"/>
              <w:left w:w="80" w:type="dxa"/>
              <w:right w:w="80" w:type="dxa"/>
            </w:tcMar>
          </w:tcPr>
          <w:p>
            <w:pPr>
              <w:jc w:val="left"/>
            </w:pPr>
            <w:r>
              <w:rPr>
                <w:sz w:val="19"/>
              </w:rPr>
              <w:t>Stedsutvikling</w:t>
            </w:r>
          </w:p>
        </w:tc>
        <w:tc>
          <w:tcPr>
            <w:tcW w:type="dxa" w:w="1008"/>
            <w:shd w:fill="F9F9F9" w:val="clear"/>
            <w:tcMar>
              <w:top w:w="80" w:type="dxa"/>
              <w:bottom w:w="80" w:type="dxa"/>
              <w:left w:w="80" w:type="dxa"/>
              <w:right w:w="80" w:type="dxa"/>
            </w:tcMar>
          </w:tcPr>
          <w:p>
            <w:pPr>
              <w:jc w:val="center"/>
            </w:pPr>
            <w:r>
              <w:rPr>
                <w:sz w:val="19"/>
              </w:rPr>
              <w:t>12</w:t>
            </w:r>
          </w:p>
        </w:tc>
        <w:tc>
          <w:tcPr>
            <w:tcW w:type="dxa" w:w="1584"/>
            <w:shd w:fill="F9F9F9" w:val="clear"/>
            <w:tcMar>
              <w:top w:w="80" w:type="dxa"/>
              <w:bottom w:w="80" w:type="dxa"/>
              <w:left w:w="80" w:type="dxa"/>
              <w:right w:w="80" w:type="dxa"/>
            </w:tcMar>
          </w:tcPr>
          <w:p>
            <w:pPr>
              <w:jc w:val="right"/>
            </w:pPr>
            <w:r>
              <w:rPr>
                <w:sz w:val="19"/>
              </w:rPr>
              <w:t>620.0</w:t>
            </w:r>
          </w:p>
        </w:tc>
        <w:tc>
          <w:tcPr>
            <w:tcW w:type="dxa" w:w="1584"/>
            <w:shd w:fill="F9F9F9" w:val="clear"/>
            <w:tcMar>
              <w:top w:w="80" w:type="dxa"/>
              <w:bottom w:w="80" w:type="dxa"/>
              <w:left w:w="80" w:type="dxa"/>
              <w:right w:w="80" w:type="dxa"/>
            </w:tcMar>
          </w:tcPr>
          <w:p>
            <w:pPr>
              <w:jc w:val="right"/>
            </w:pPr>
            <w:r>
              <w:rPr>
                <w:sz w:val="19"/>
              </w:rPr>
              <w:t>422.3</w:t>
            </w:r>
          </w:p>
        </w:tc>
        <w:tc>
          <w:tcPr>
            <w:tcW w:type="dxa" w:w="1584"/>
            <w:shd w:fill="F9F9F9" w:val="clear"/>
            <w:tcMar>
              <w:top w:w="80" w:type="dxa"/>
              <w:bottom w:w="80" w:type="dxa"/>
              <w:left w:w="80" w:type="dxa"/>
              <w:right w:w="80" w:type="dxa"/>
            </w:tcMar>
          </w:tcPr>
          <w:p>
            <w:pPr>
              <w:jc w:val="right"/>
            </w:pPr>
            <w:r>
              <w:rPr>
                <w:b/>
                <w:color w:val="D32F2F"/>
                <w:sz w:val="19"/>
              </w:rPr>
              <w:t>-8.26</w:t>
            </w:r>
          </w:p>
        </w:tc>
        <w:tc>
          <w:tcPr>
            <w:tcW w:type="dxa" w:w="1296"/>
            <w:shd w:fill="F9F9F9" w:val="clear"/>
            <w:tcMar>
              <w:top w:w="80" w:type="dxa"/>
              <w:bottom w:w="80" w:type="dxa"/>
              <w:left w:w="80" w:type="dxa"/>
              <w:right w:w="80" w:type="dxa"/>
            </w:tcMar>
          </w:tcPr>
          <w:p>
            <w:pPr>
              <w:jc w:val="center"/>
            </w:pPr>
            <w:r>
              <w:rPr>
                <w:sz w:val="19"/>
              </w:rPr>
              <w:t>🔴 Rød</w:t>
            </w:r>
          </w:p>
        </w:tc>
      </w:tr>
      <w:tr>
        <w:tc>
          <w:tcPr>
            <w:tcW w:type="dxa" w:w="3024"/>
            <w:shd w:fill="FFFFFF" w:val="clear"/>
            <w:tcMar>
              <w:top w:w="80" w:type="dxa"/>
              <w:bottom w:w="80" w:type="dxa"/>
              <w:left w:w="80" w:type="dxa"/>
              <w:right w:w="80" w:type="dxa"/>
            </w:tcMar>
          </w:tcPr>
          <w:p>
            <w:pPr>
              <w:jc w:val="left"/>
            </w:pPr>
            <w:r>
              <w:rPr>
                <w:sz w:val="19"/>
              </w:rPr>
              <w:t>Kultur og innbyggerdialog</w:t>
            </w:r>
          </w:p>
        </w:tc>
        <w:tc>
          <w:tcPr>
            <w:tcW w:type="dxa" w:w="1008"/>
            <w:shd w:fill="FFFFFF" w:val="clear"/>
            <w:tcMar>
              <w:top w:w="80" w:type="dxa"/>
              <w:bottom w:w="80" w:type="dxa"/>
              <w:left w:w="80" w:type="dxa"/>
              <w:right w:w="80" w:type="dxa"/>
            </w:tcMar>
          </w:tcPr>
          <w:p>
            <w:pPr>
              <w:jc w:val="center"/>
            </w:pPr>
            <w:r>
              <w:rPr>
                <w:sz w:val="19"/>
              </w:rPr>
              <w:t>10</w:t>
            </w:r>
          </w:p>
        </w:tc>
        <w:tc>
          <w:tcPr>
            <w:tcW w:type="dxa" w:w="1584"/>
            <w:shd w:fill="FFFFFF" w:val="clear"/>
            <w:tcMar>
              <w:top w:w="80" w:type="dxa"/>
              <w:bottom w:w="80" w:type="dxa"/>
              <w:left w:w="80" w:type="dxa"/>
              <w:right w:w="80" w:type="dxa"/>
            </w:tcMar>
          </w:tcPr>
          <w:p>
            <w:pPr>
              <w:jc w:val="right"/>
            </w:pPr>
            <w:r>
              <w:rPr>
                <w:sz w:val="19"/>
              </w:rPr>
              <w:t>410.0</w:t>
            </w:r>
          </w:p>
        </w:tc>
        <w:tc>
          <w:tcPr>
            <w:tcW w:type="dxa" w:w="1584"/>
            <w:shd w:fill="FFFFFF" w:val="clear"/>
            <w:tcMar>
              <w:top w:w="80" w:type="dxa"/>
              <w:bottom w:w="80" w:type="dxa"/>
              <w:left w:w="80" w:type="dxa"/>
              <w:right w:w="80" w:type="dxa"/>
            </w:tcMar>
          </w:tcPr>
          <w:p>
            <w:pPr>
              <w:jc w:val="right"/>
            </w:pPr>
            <w:r>
              <w:rPr>
                <w:sz w:val="19"/>
              </w:rPr>
              <w:t>265.4</w:t>
            </w:r>
          </w:p>
        </w:tc>
        <w:tc>
          <w:tcPr>
            <w:tcW w:type="dxa" w:w="1584"/>
            <w:shd w:fill="FFFFFF" w:val="clear"/>
            <w:tcMar>
              <w:top w:w="80" w:type="dxa"/>
              <w:bottom w:w="80" w:type="dxa"/>
              <w:left w:w="80" w:type="dxa"/>
              <w:right w:w="80" w:type="dxa"/>
            </w:tcMar>
          </w:tcPr>
          <w:p>
            <w:pPr>
              <w:jc w:val="right"/>
            </w:pPr>
            <w:r>
              <w:rPr>
                <w:color w:val="388E3C"/>
                <w:sz w:val="19"/>
              </w:rPr>
              <w:t>+1.31</w:t>
            </w:r>
          </w:p>
        </w:tc>
        <w:tc>
          <w:tcPr>
            <w:tcW w:type="dxa" w:w="1296"/>
            <w:shd w:fill="FFFFFF" w:val="clear"/>
            <w:tcMar>
              <w:top w:w="80" w:type="dxa"/>
              <w:bottom w:w="80" w:type="dxa"/>
              <w:left w:w="80" w:type="dxa"/>
              <w:right w:w="80" w:type="dxa"/>
            </w:tcMar>
          </w:tcPr>
          <w:p>
            <w:pPr>
              <w:jc w:val="center"/>
            </w:pPr>
            <w:r>
              <w:rPr>
                <w:sz w:val="19"/>
              </w:rPr>
              <w:t>🟢 Grønn</w:t>
            </w:r>
          </w:p>
        </w:tc>
      </w:tr>
      <w:tr>
        <w:tc>
          <w:tcPr>
            <w:tcW w:type="dxa" w:w="3024"/>
            <w:shd w:fill="F9F9F9" w:val="clear"/>
            <w:tcMar>
              <w:top w:w="80" w:type="dxa"/>
              <w:bottom w:w="80" w:type="dxa"/>
              <w:left w:w="80" w:type="dxa"/>
              <w:right w:w="80" w:type="dxa"/>
            </w:tcMar>
          </w:tcPr>
          <w:p>
            <w:pPr>
              <w:jc w:val="left"/>
            </w:pPr>
            <w:r>
              <w:rPr>
                <w:sz w:val="19"/>
              </w:rPr>
              <w:t>Infrastruktur og miljø</w:t>
            </w:r>
          </w:p>
        </w:tc>
        <w:tc>
          <w:tcPr>
            <w:tcW w:type="dxa" w:w="1008"/>
            <w:shd w:fill="F9F9F9" w:val="clear"/>
            <w:tcMar>
              <w:top w:w="80" w:type="dxa"/>
              <w:bottom w:w="80" w:type="dxa"/>
              <w:left w:w="80" w:type="dxa"/>
              <w:right w:w="80" w:type="dxa"/>
            </w:tcMar>
          </w:tcPr>
          <w:p>
            <w:pPr>
              <w:jc w:val="center"/>
            </w:pPr>
            <w:r>
              <w:rPr>
                <w:sz w:val="19"/>
              </w:rPr>
              <w:t>11</w:t>
            </w:r>
          </w:p>
        </w:tc>
        <w:tc>
          <w:tcPr>
            <w:tcW w:type="dxa" w:w="1584"/>
            <w:shd w:fill="F9F9F9" w:val="clear"/>
            <w:tcMar>
              <w:top w:w="80" w:type="dxa"/>
              <w:bottom w:w="80" w:type="dxa"/>
              <w:left w:w="80" w:type="dxa"/>
              <w:right w:w="80" w:type="dxa"/>
            </w:tcMar>
          </w:tcPr>
          <w:p>
            <w:pPr>
              <w:jc w:val="right"/>
            </w:pPr>
            <w:r>
              <w:rPr>
                <w:sz w:val="19"/>
              </w:rPr>
              <w:t>810.0</w:t>
            </w:r>
          </w:p>
        </w:tc>
        <w:tc>
          <w:tcPr>
            <w:tcW w:type="dxa" w:w="1584"/>
            <w:shd w:fill="F9F9F9" w:val="clear"/>
            <w:tcMar>
              <w:top w:w="80" w:type="dxa"/>
              <w:bottom w:w="80" w:type="dxa"/>
              <w:left w:w="80" w:type="dxa"/>
              <w:right w:w="80" w:type="dxa"/>
            </w:tcMar>
          </w:tcPr>
          <w:p>
            <w:pPr>
              <w:jc w:val="right"/>
            </w:pPr>
            <w:r>
              <w:rPr>
                <w:sz w:val="19"/>
              </w:rPr>
              <w:t>531.8</w:t>
            </w:r>
          </w:p>
        </w:tc>
        <w:tc>
          <w:tcPr>
            <w:tcW w:type="dxa" w:w="1584"/>
            <w:shd w:fill="F9F9F9" w:val="clear"/>
            <w:tcMar>
              <w:top w:w="80" w:type="dxa"/>
              <w:bottom w:w="80" w:type="dxa"/>
              <w:left w:w="80" w:type="dxa"/>
              <w:right w:w="80" w:type="dxa"/>
            </w:tcMar>
          </w:tcPr>
          <w:p>
            <w:pPr>
              <w:jc w:val="right"/>
            </w:pPr>
            <w:r>
              <w:rPr>
                <w:b/>
                <w:color w:val="D32F2F"/>
                <w:sz w:val="19"/>
              </w:rPr>
              <w:t>-0.80</w:t>
            </w:r>
          </w:p>
        </w:tc>
        <w:tc>
          <w:tcPr>
            <w:tcW w:type="dxa" w:w="1296"/>
            <w:shd w:fill="F9F9F9" w:val="clear"/>
            <w:tcMar>
              <w:top w:w="80" w:type="dxa"/>
              <w:bottom w:w="80" w:type="dxa"/>
              <w:left w:w="80" w:type="dxa"/>
              <w:right w:w="80" w:type="dxa"/>
            </w:tcMar>
          </w:tcPr>
          <w:p>
            <w:pPr>
              <w:jc w:val="center"/>
            </w:pPr>
            <w:r>
              <w:rPr>
                <w:sz w:val="19"/>
              </w:rPr>
              <w:t>🟠 Rav</w:t>
            </w:r>
          </w:p>
        </w:tc>
      </w:tr>
      <w:tr>
        <w:tc>
          <w:tcPr>
            <w:tcW w:type="dxa" w:w="3024"/>
            <w:shd w:fill="FFFFFF" w:val="clear"/>
            <w:tcMar>
              <w:top w:w="80" w:type="dxa"/>
              <w:bottom w:w="80" w:type="dxa"/>
              <w:left w:w="80" w:type="dxa"/>
              <w:right w:w="80" w:type="dxa"/>
            </w:tcMar>
          </w:tcPr>
          <w:p>
            <w:pPr>
              <w:jc w:val="left"/>
            </w:pPr>
            <w:r>
              <w:rPr>
                <w:sz w:val="19"/>
              </w:rPr>
              <w:t>Organisasjon og styring</w:t>
            </w:r>
          </w:p>
        </w:tc>
        <w:tc>
          <w:tcPr>
            <w:tcW w:type="dxa" w:w="1008"/>
            <w:shd w:fill="FFFFFF" w:val="clear"/>
            <w:tcMar>
              <w:top w:w="80" w:type="dxa"/>
              <w:bottom w:w="80" w:type="dxa"/>
              <w:left w:w="80" w:type="dxa"/>
              <w:right w:w="80" w:type="dxa"/>
            </w:tcMar>
          </w:tcPr>
          <w:p>
            <w:pPr>
              <w:jc w:val="center"/>
            </w:pPr>
            <w:r>
              <w:rPr>
                <w:sz w:val="19"/>
              </w:rPr>
              <w:t>8</w:t>
            </w:r>
          </w:p>
        </w:tc>
        <w:tc>
          <w:tcPr>
            <w:tcW w:type="dxa" w:w="1584"/>
            <w:shd w:fill="FFFFFF" w:val="clear"/>
            <w:tcMar>
              <w:top w:w="80" w:type="dxa"/>
              <w:bottom w:w="80" w:type="dxa"/>
              <w:left w:w="80" w:type="dxa"/>
              <w:right w:w="80" w:type="dxa"/>
            </w:tcMar>
          </w:tcPr>
          <w:p>
            <w:pPr>
              <w:jc w:val="right"/>
            </w:pPr>
            <w:r>
              <w:rPr>
                <w:sz w:val="19"/>
              </w:rPr>
              <w:t>410.0</w:t>
            </w:r>
          </w:p>
        </w:tc>
        <w:tc>
          <w:tcPr>
            <w:tcW w:type="dxa" w:w="1584"/>
            <w:shd w:fill="FFFFFF" w:val="clear"/>
            <w:tcMar>
              <w:top w:w="80" w:type="dxa"/>
              <w:bottom w:w="80" w:type="dxa"/>
              <w:left w:w="80" w:type="dxa"/>
              <w:right w:w="80" w:type="dxa"/>
            </w:tcMar>
          </w:tcPr>
          <w:p>
            <w:pPr>
              <w:jc w:val="right"/>
            </w:pPr>
            <w:r>
              <w:rPr>
                <w:sz w:val="19"/>
              </w:rPr>
              <w:t>263.1</w:t>
            </w:r>
          </w:p>
        </w:tc>
        <w:tc>
          <w:tcPr>
            <w:tcW w:type="dxa" w:w="1584"/>
            <w:shd w:fill="FFFFFF" w:val="clear"/>
            <w:tcMar>
              <w:top w:w="80" w:type="dxa"/>
              <w:bottom w:w="80" w:type="dxa"/>
              <w:left w:w="80" w:type="dxa"/>
              <w:right w:w="80" w:type="dxa"/>
            </w:tcMar>
          </w:tcPr>
          <w:p>
            <w:pPr>
              <w:jc w:val="right"/>
            </w:pPr>
            <w:r>
              <w:rPr>
                <w:color w:val="388E3C"/>
                <w:sz w:val="19"/>
              </w:rPr>
              <w:t>+10.30</w:t>
            </w:r>
          </w:p>
        </w:tc>
        <w:tc>
          <w:tcPr>
            <w:tcW w:type="dxa" w:w="1296"/>
            <w:shd w:fill="FFFFFF" w:val="clear"/>
            <w:tcMar>
              <w:top w:w="80" w:type="dxa"/>
              <w:bottom w:w="80" w:type="dxa"/>
              <w:left w:w="80" w:type="dxa"/>
              <w:right w:w="80" w:type="dxa"/>
            </w:tcMar>
          </w:tcPr>
          <w:p>
            <w:pPr>
              <w:jc w:val="center"/>
            </w:pPr>
            <w:r>
              <w:rPr>
                <w:sz w:val="19"/>
              </w:rPr>
              <w:t>🟢 Grønn</w:t>
            </w:r>
          </w:p>
        </w:tc>
      </w:tr>
      <w:tr>
        <w:tc>
          <w:tcPr>
            <w:tcW w:type="dxa" w:w="3024"/>
            <w:shd w:fill="DCE6F1" w:val="clear"/>
            <w:tcMar>
              <w:top w:w="80" w:type="dxa"/>
              <w:bottom w:w="80" w:type="dxa"/>
              <w:left w:w="80" w:type="dxa"/>
              <w:right w:w="80" w:type="dxa"/>
            </w:tcMar>
          </w:tcPr>
          <w:p>
            <w:pPr>
              <w:jc w:val="left"/>
            </w:pPr>
            <w:r>
              <w:rPr>
                <w:b/>
                <w:sz w:val="19"/>
              </w:rPr>
              <w:t>TOTALT KRISTIANSAND</w:t>
            </w:r>
          </w:p>
        </w:tc>
        <w:tc>
          <w:tcPr>
            <w:tcW w:type="dxa" w:w="1008"/>
            <w:shd w:fill="DCE6F1" w:val="clear"/>
            <w:tcMar>
              <w:top w:w="80" w:type="dxa"/>
              <w:bottom w:w="80" w:type="dxa"/>
              <w:left w:w="80" w:type="dxa"/>
              <w:right w:w="80" w:type="dxa"/>
            </w:tcMar>
          </w:tcPr>
          <w:p>
            <w:pPr>
              <w:jc w:val="center"/>
            </w:pPr>
            <w:r>
              <w:rPr>
                <w:b/>
                <w:sz w:val="19"/>
              </w:rPr>
              <w:t>81</w:t>
            </w:r>
          </w:p>
        </w:tc>
        <w:tc>
          <w:tcPr>
            <w:tcW w:type="dxa" w:w="1584"/>
            <w:shd w:fill="DCE6F1" w:val="clear"/>
            <w:tcMar>
              <w:top w:w="80" w:type="dxa"/>
              <w:bottom w:w="80" w:type="dxa"/>
              <w:left w:w="80" w:type="dxa"/>
              <w:right w:w="80" w:type="dxa"/>
            </w:tcMar>
          </w:tcPr>
          <w:p>
            <w:pPr>
              <w:jc w:val="right"/>
            </w:pPr>
            <w:r>
              <w:rPr>
                <w:b/>
                <w:sz w:val="19"/>
              </w:rPr>
              <w:t>7 240.0</w:t>
            </w:r>
          </w:p>
        </w:tc>
        <w:tc>
          <w:tcPr>
            <w:tcW w:type="dxa" w:w="1584"/>
            <w:shd w:fill="DCE6F1" w:val="clear"/>
            <w:tcMar>
              <w:top w:w="80" w:type="dxa"/>
              <w:bottom w:w="80" w:type="dxa"/>
              <w:left w:w="80" w:type="dxa"/>
              <w:right w:w="80" w:type="dxa"/>
            </w:tcMar>
          </w:tcPr>
          <w:p>
            <w:pPr>
              <w:jc w:val="right"/>
            </w:pPr>
            <w:r>
              <w:rPr>
                <w:b/>
                <w:sz w:val="19"/>
              </w:rPr>
              <w:t>4 818.6</w:t>
            </w:r>
          </w:p>
        </w:tc>
        <w:tc>
          <w:tcPr>
            <w:tcW w:type="dxa" w:w="1584"/>
            <w:shd w:fill="DCE6F1" w:val="clear"/>
            <w:tcMar>
              <w:top w:w="80" w:type="dxa"/>
              <w:bottom w:w="80" w:type="dxa"/>
              <w:left w:w="80" w:type="dxa"/>
              <w:right w:w="80" w:type="dxa"/>
            </w:tcMar>
          </w:tcPr>
          <w:p>
            <w:pPr>
              <w:jc w:val="right"/>
            </w:pPr>
            <w:r>
              <w:rPr>
                <w:b/>
                <w:sz w:val="19"/>
              </w:rPr>
              <w:t>-10.10</w:t>
            </w:r>
          </w:p>
        </w:tc>
        <w:tc>
          <w:tcPr>
            <w:tcW w:type="dxa" w:w="1296"/>
            <w:shd w:fill="DCE6F1" w:val="clear"/>
            <w:tcMar>
              <w:top w:w="80" w:type="dxa"/>
              <w:bottom w:w="80" w:type="dxa"/>
              <w:left w:w="80" w:type="dxa"/>
              <w:right w:w="80" w:type="dxa"/>
            </w:tcMar>
          </w:tcPr>
          <w:p>
            <w:pPr>
              <w:jc w:val="center"/>
            </w:pPr>
            <w:r>
              <w:rPr>
                <w:b/>
                <w:sz w:val="19"/>
              </w:rPr>
              <w:t>🟠 Rav</w:t>
            </w:r>
          </w:p>
        </w:tc>
      </w:tr>
    </w:tbl>
    <w:p>
      <w:pPr>
        <w:spacing w:after="240"/>
      </w:pPr>
    </w:p>
    <w:p>
      <w:pPr>
        <w:pStyle w:val="Heading1"/>
      </w:pPr>
      <w:r>
        <w:rPr>
          <w:b/>
          <w:color w:val="002B49"/>
          <w:sz w:val="28"/>
        </w:rPr>
        <w:t>3. Detaljert Vurdering av de 6 Virksomhetsområdene</w:t>
      </w:r>
    </w:p>
    <w:p>
      <w:pPr>
        <w:pStyle w:val="Heading2"/>
      </w:pPr>
      <w:r>
        <w:rPr>
          <w:b/>
          <w:color w:val="002B49"/>
          <w:sz w:val="24"/>
        </w:rPr>
        <w:t>3.1 Helse og Mestring (22 Enheter – Ansvar 5200)</w:t>
      </w:r>
    </w:p>
    <w:p>
      <w:pPr>
        <w:spacing w:after="160"/>
      </w:pPr>
      <w:r>
        <w:t>Helse og Mestring opplever et betydelig driftsavvik på -21,50 MNOK. Hovedårsaken er høy turnover, høyt sykefravær og utstrakt bruk av overtid og innleide vikartjenester (Art 1090/1100) ved Sykehjem og Helsehus (KOSTRA 254). Monte Carlo-simuleringer (10 000 kjøringer) indikerer at uten tiltak vil årsavslutningen havne på et merforbruk mellom 28,5 MNOK (P50) og 36,2 MNOK (P90) på grunn av forventet vinter-sykefravær i Q4.</w:t>
        <w:br/>
        <w:br/>
        <w:t>Tiltak: Det iverksettes umiddelbart vikarstopp for ubesatte stillinger som ikke er akutt kritiske, samt fremskyndet innfordring av uavstemte NAV-refusjoner (Art 1600) estimert til 6,4 MNOK jf. Folketrygdloven § 22-13.</w:t>
      </w:r>
    </w:p>
    <w:p>
      <w:pPr>
        <w:pStyle w:val="Heading2"/>
      </w:pPr>
      <w:r>
        <w:rPr>
          <w:b/>
          <w:color w:val="002B49"/>
          <w:sz w:val="24"/>
        </w:rPr>
        <w:t>3.2 Oppvekst (18 Enheter – Ansvar 2100)</w:t>
      </w:r>
    </w:p>
    <w:p>
      <w:pPr>
        <w:spacing w:after="160"/>
      </w:pPr>
      <w:r>
        <w:t>Virksomhetsområde Oppvekst viser et positivt avvik på +8,85 MNOK ved 2. tertial. Stabilt sykefravær i grunnskolen (KOSTRA 202) og effektiv ressursbruk gjør at sektoren kan gi rom for delvis omdisponering til helsesektoren uten at det går ut over lovpålagte skoletjenester.</w:t>
      </w:r>
    </w:p>
    <w:p>
      <w:pPr>
        <w:pStyle w:val="Heading2"/>
      </w:pPr>
      <w:r>
        <w:rPr>
          <w:b/>
          <w:color w:val="002B49"/>
          <w:sz w:val="24"/>
        </w:rPr>
        <w:t>3.3 Stedsutvikling (12 Enheter – Ansvar 3100)</w:t>
      </w:r>
    </w:p>
    <w:p>
      <w:pPr>
        <w:spacing w:after="160"/>
      </w:pPr>
      <w:r>
        <w:t>Stedsutvikling har et avvik på -8,26 MNOK, primært knyttet til lavere byggegebyrinntekter enn forutsatt innen Plan og Bygg (KOSTRA 301). Sektoren tilpasser nå sin bemanningskapasitet for å harmonisere selvkostområdene.</w:t>
      </w:r>
    </w:p>
    <w:p>
      <w:pPr>
        <w:pStyle w:val="Heading2"/>
      </w:pPr>
      <w:r>
        <w:rPr>
          <w:b/>
          <w:color w:val="002B49"/>
          <w:sz w:val="24"/>
        </w:rPr>
        <w:t>3.4 Kultur og Innbyggerdialog (10 Enheter – Ansvar 4100)</w:t>
      </w:r>
    </w:p>
    <w:p>
      <w:pPr>
        <w:spacing w:after="160"/>
      </w:pPr>
      <w:r>
        <w:t>Kultur og Innbyggerdialog følger budsjettrammene tett med et svakt mindreforbruk på +1,31 MNOK. Tjenesteproduksjonen ved bibliotekene og kulturskolen går etter plan.</w:t>
      </w:r>
    </w:p>
    <w:p>
      <w:pPr>
        <w:pStyle w:val="Heading2"/>
      </w:pPr>
      <w:r>
        <w:rPr>
          <w:b/>
          <w:color w:val="002B49"/>
          <w:sz w:val="24"/>
        </w:rPr>
        <w:t>3.5 Infrastruktur og Miljø (11 Enheter – Ansvar 6100)</w:t>
      </w:r>
    </w:p>
    <w:p>
      <w:pPr>
        <w:spacing w:after="160"/>
      </w:pPr>
      <w:r>
        <w:t>Infrastruktur og Miljø ligger nær balanse med et avvik på -0,80 MNOK. Selvkostområdene (VANN, AVLØP, RENOVASJON) avregnes i henhold til 5-års selvkostforskriften.</w:t>
      </w:r>
    </w:p>
    <w:p>
      <w:pPr>
        <w:pStyle w:val="Heading2"/>
      </w:pPr>
      <w:r>
        <w:rPr>
          <w:b/>
          <w:color w:val="002B49"/>
          <w:sz w:val="24"/>
        </w:rPr>
        <w:t>3.6 Organisasjon og Styring (8 Enheter – Ansvar 1100)</w:t>
      </w:r>
    </w:p>
    <w:p>
      <w:pPr>
        <w:spacing w:after="160"/>
      </w:pPr>
      <w:r>
        <w:t>Organisasjon og Styring utviser et mindreforbruk på +10,30 MNOK som følge av vakanser og forsinkede prosjektutbetalinger i fellesadministrasjonen.</w:t>
      </w:r>
    </w:p>
    <w:p>
      <w:pPr>
        <w:pStyle w:val="Heading1"/>
      </w:pPr>
      <w:r>
        <w:rPr>
          <w:b/>
          <w:color w:val="002B49"/>
          <w:sz w:val="28"/>
        </w:rPr>
        <w:t>4. Juridisk Forankring, Internkontroll &amp; AI Governance</w:t>
      </w:r>
    </w:p>
    <w:p>
      <w:r>
        <w:t>4.1 Kommuneloven § 14-5 og § 14-6:</w:t>
        <w:br/>
        <w:t>Kommuneloven § 14-5 fastslår at årsbudsjettet skal settes opp i balanse og at kommunedirektøren plikter å fremme sak om budsjettendring dersom det oppstår avvik som truer balansen. Videre krever § 14-6 at bruttoprinsippet legges til grunn, slik at inntekter og utgifter føres uten nettoføring.</w:t>
        <w:br/>
        <w:br/>
        <w:t>4.2 EU AI Act Article 14 &amp; Stage-Gate Port 9 (Revisorstempel):</w:t>
        <w:br/>
        <w:t>Saksgrunnlaget og avviksanalysene er utarbeidet ved bruk av AI_KOM Control Office Hub. I henhold til EU AI Act Article 14 (Menneskelig tilsyn) har alle AI-genererte prognoser og tiltaksanbefalinger gjennomgått manuell saksbehandlerkontroll ved Stage-Gate Port 9. Hver godkjente beslutning er tildelt et kryptografisk SHA-256 revisjonsstempel som lagres uforanderlig i Kommunerevisjonens audit ledger.</w:t>
      </w:r>
    </w:p>
    <w:p>
      <w:pPr>
        <w:spacing w:after="360"/>
      </w:pPr>
    </w:p>
    <w:p>
      <w:r>
        <w:rPr>
          <w:sz w:val="20"/>
        </w:rPr>
        <w:t>Kristiansand, 19. oktober 2026</w:t>
        <w:br/>
        <w:br/>
        <w:br/>
      </w:r>
      <w:r>
        <w:rPr>
          <w:b/>
        </w:rPr>
        <w:t xml:space="preserve">Kommunedirektør                      </w:t>
      </w:r>
      <w:r>
        <w:rPr>
          <w:b/>
        </w:rPr>
        <w:t>Økonomidirektør / Sjefscontroller</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Side </w:t>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8"/>
      </w:rPr>
      <w:t>Kristiansand kommune | Politisk Saksfremlegg - 2. Tertialrapport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