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Saksnummer:</w:t>
            </w:r>
          </w:p>
        </w:tc>
        <w:tc>
          <w:tcPr>
            <w:tcW w:type="dxa" w:w="2351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rFonts w:ascii="Arial" w:hAnsi="Arial"/>
                <w:color w:val="1F2937"/>
                <w:sz w:val="17"/>
              </w:rPr>
              <w:t>26/04182-1</w:t>
            </w:r>
          </w:p>
        </w:tc>
        <w:tc>
          <w:tcPr>
            <w:tcW w:type="dxa" w:w="2351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Dato:</w:t>
            </w:r>
          </w:p>
        </w:tc>
        <w:tc>
          <w:tcPr>
            <w:tcW w:type="dxa" w:w="2351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rFonts w:ascii="Arial" w:hAnsi="Arial"/>
                <w:color w:val="1F2937"/>
                <w:sz w:val="17"/>
              </w:rPr>
              <w:t>14.10.2026</w:t>
            </w:r>
          </w:p>
        </w:tc>
      </w:tr>
      <w:tr>
        <w:tc>
          <w:tcPr>
            <w:tcW w:type="dxa" w:w="2351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Arkivkode:</w:t>
            </w:r>
          </w:p>
        </w:tc>
        <w:tc>
          <w:tcPr>
            <w:tcW w:type="dxa" w:w="2351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rFonts w:ascii="Arial" w:hAnsi="Arial"/>
                <w:color w:val="1F2937"/>
                <w:sz w:val="17"/>
              </w:rPr>
              <w:t>FE-102 &amp; KOSTRA-202</w:t>
            </w:r>
          </w:p>
        </w:tc>
        <w:tc>
          <w:tcPr>
            <w:tcW w:type="dxa" w:w="2351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Utvalg:</w:t>
            </w:r>
          </w:p>
        </w:tc>
        <w:tc>
          <w:tcPr>
            <w:tcW w:type="dxa" w:w="2351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rFonts w:ascii="Arial" w:hAnsi="Arial"/>
                <w:color w:val="1F2937"/>
                <w:sz w:val="17"/>
              </w:rPr>
              <w:t>Bystyret / Formannskapet</w:t>
            </w:r>
          </w:p>
        </w:tc>
      </w:tr>
      <w:tr>
        <w:tc>
          <w:tcPr>
            <w:tcW w:type="dxa" w:w="2351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Saksbehandler:</w:t>
            </w:r>
          </w:p>
        </w:tc>
        <w:tc>
          <w:tcPr>
            <w:tcW w:type="dxa" w:w="2351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rFonts w:ascii="Arial" w:hAnsi="Arial"/>
                <w:color w:val="1F2937"/>
                <w:sz w:val="17"/>
              </w:rPr>
              <w:t>Frank Ellingsen, Senior Controller</w:t>
            </w:r>
          </w:p>
        </w:tc>
        <w:tc>
          <w:tcPr>
            <w:tcW w:type="dxa" w:w="2351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Klassering:</w:t>
            </w:r>
          </w:p>
        </w:tc>
        <w:tc>
          <w:tcPr>
            <w:tcW w:type="dxa" w:w="2351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rFonts w:ascii="Arial" w:hAnsi="Arial"/>
                <w:color w:val="1F2937"/>
                <w:sz w:val="17"/>
              </w:rPr>
              <w:t>Åpen / Offentlig</w:t>
            </w:r>
          </w:p>
        </w:tc>
      </w:tr>
      <w:tr>
        <w:tc>
          <w:tcPr>
            <w:tcW w:type="dxa" w:w="2351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Dokument-ID:</w:t>
            </w:r>
          </w:p>
        </w:tc>
        <w:tc>
          <w:tcPr>
            <w:tcW w:type="dxa" w:w="2351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rFonts w:ascii="Arial" w:hAnsi="Arial"/>
                <w:color w:val="1F2937"/>
                <w:sz w:val="17"/>
              </w:rPr>
              <w:t>DOC-360-8D76A67E</w:t>
            </w:r>
          </w:p>
        </w:tc>
        <w:tc>
          <w:tcPr>
            <w:tcW w:type="dxa" w:w="2351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Kryptostempel:</w:t>
            </w:r>
          </w:p>
        </w:tc>
        <w:tc>
          <w:tcPr>
            <w:tcW w:type="dxa" w:w="2351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rFonts w:ascii="Arial" w:hAnsi="Arial"/>
                <w:color w:val="1F2937"/>
                <w:sz w:val="17"/>
              </w:rPr>
              <w:t>SHA256:8d76a67e27d5</w:t>
            </w:r>
          </w:p>
        </w:tc>
      </w:tr>
    </w:tbl>
    <w:p/>
    <w:p>
      <w:pPr>
        <w:spacing w:before="240" w:after="160"/>
      </w:pPr>
      <w:r>
        <w:rPr>
          <w:rFonts w:ascii="Arial" w:hAnsi="Arial"/>
          <w:b/>
          <w:color w:val="1E3A8A"/>
          <w:sz w:val="40"/>
        </w:rPr>
        <w:t>Sak 42/26: Endring av Årsbudsjett 2026 og Tiltakspakke for Enhet 202 Grunnskole</w:t>
      </w:r>
    </w:p>
    <w:p>
      <w:pPr>
        <w:spacing w:after="280" w:line="276" w:lineRule="auto"/>
      </w:pPr>
      <w:r>
        <w:rPr>
          <w:rFonts w:ascii="Arial" w:hAnsi="Arial"/>
          <w:i/>
          <w:color w:val="4B5563"/>
          <w:sz w:val="24"/>
        </w:rPr>
        <w:t>Behandling av økonomisk avvik i 2. tertial og opprettholdelse av budsjettbalanse jf. Kommuneloven § 14-5</w:t>
      </w:r>
    </w:p>
    <w:p>
      <w:pPr>
        <w:spacing w:before="240" w:after="80"/>
      </w:pPr>
      <w:r>
        <w:rPr>
          <w:rFonts w:ascii="Arial" w:hAnsi="Arial"/>
          <w:b/>
          <w:color w:val="1E3A8A"/>
          <w:sz w:val="28"/>
        </w:rPr>
        <w:t>1. Saksammendrag</w:t>
      </w:r>
    </w:p>
    <w:p>
      <w:pPr>
        <w:spacing w:after="120" w:line="276" w:lineRule="auto"/>
      </w:pPr>
      <w:r>
        <w:t>I forbindelse med avleggelsen av 2. tertialrapport 2026 er det avdekket et merforbruk ved Enhet 202 Grunnskole på kr 850 000 hittil i år (+12,4 % over periodisert ramme). Hovedårsaken er ekstraordinært høyt sykefravær blant undervisningspersonell i mai og juni (14,2 %), som har utløst kr 620 000 i uforutsette vikarutgifter (konto 1020), kombinert med et forsinket oppgjør av sykepengerefusjoner fra NAV (konto 1600) på kr 180 000.</w:t>
      </w:r>
    </w:p>
    <w:p>
      <w:pPr>
        <w:spacing w:after="120" w:line="276" w:lineRule="auto"/>
      </w:pPr>
      <w:r>
        <w:t>Kommunedirektøren har utarbeidet en to-trinns tiltakspakke i samarbeid med rektor og de tillitsvalgte, bestående av klassesammenslåing ved korttidsfravær, forsterket refusjonsoppfølging og etablering av en felles vikarpool i Oppvekstsektoren. Tiltakene reduserer forventet helårsavvik fra kr 1 720 000 til kr 350 000. For å sikre budsjettmessig balanse jf. Kommuneloven § 14-5 innstilles det på at det gjenstående avviket på kr 350 000 dekkes inn gjennom omdisponering fra Oppvekstsektorens omstillingsfond.</w:t>
      </w:r>
    </w:p>
    <w:p>
      <w:pPr>
        <w:spacing w:before="280" w:after="80"/>
      </w:pPr>
      <w:r>
        <w:rPr>
          <w:rFonts w:ascii="Arial" w:hAnsi="Arial"/>
          <w:b/>
          <w:color w:val="1E3A8A"/>
          <w:sz w:val="28"/>
        </w:rPr>
        <w:t>2. Kommunedirektørens Forslag til Vedtak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40" w:type="dxa"/>
              <w:bottom w:w="140" w:type="dxa"/>
              <w:left w:w="180" w:type="dxa"/>
              <w:right w:w="180" w:type="dxa"/>
            </w:tcMar>
            <w:shd w:val="clear" w:color="auto" w:fill="EFF6FF"/>
          </w:tcPr>
          <w:p>
            <w:pPr>
              <w:spacing w:after="120" w:line="276" w:lineRule="auto"/>
            </w:pPr>
            <w:r>
              <w:rPr>
                <w:rFonts w:ascii="Arial" w:hAnsi="Arial"/>
                <w:b/>
                <w:color w:val="1E3A8A"/>
                <w:sz w:val="22"/>
              </w:rPr>
              <w:t>Kommunedirektøren foreslår at Bystyret fatter følgende vedtak:</w:t>
            </w:r>
          </w:p>
          <w:p>
            <w:pPr>
              <w:spacing w:after="120" w:line="276" w:lineRule="auto"/>
            </w:pPr>
            <w:r>
              <w:rPr>
                <w:rFonts w:ascii="Arial" w:hAnsi="Arial"/>
                <w:color w:val="1F2937"/>
                <w:sz w:val="21"/>
              </w:rPr>
              <w:t>1. Bystyret godkjenner i medhold av Kommuneloven § 14-5 en budsjettjustering der det bevilges inntil kr 350 000 i tilleggsramme til Enhet 202 Grunnskole (Ansvar 2020 / KOSTRA Funksjon 202) for driftsåret 2026.</w:t>
            </w:r>
          </w:p>
          <w:p>
            <w:pPr>
              <w:spacing w:after="120" w:line="276" w:lineRule="auto"/>
            </w:pPr>
            <w:r>
              <w:rPr>
                <w:rFonts w:ascii="Arial" w:hAnsi="Arial"/>
                <w:color w:val="1F2937"/>
                <w:sz w:val="21"/>
              </w:rPr>
              <w:t>2. Tilleggsbevilgningen finansieres i sin helhet ved tilsvarende overføring fra Oppvekstsektorens omstillingsfond (Konto 1950 / Disposisjonsfond).</w:t>
            </w:r>
          </w:p>
          <w:p>
            <w:pPr>
              <w:spacing w:after="120" w:line="276" w:lineRule="auto"/>
            </w:pPr>
            <w:r>
              <w:rPr>
                <w:rFonts w:ascii="Arial" w:hAnsi="Arial"/>
                <w:color w:val="1F2937"/>
                <w:sz w:val="21"/>
              </w:rPr>
              <w:t>3. Kommunedirektøren pålegges å iverksette den fremlagte tiltakspakken for vikarbruk og opprette felles vikarpool i tråd med drøftinger jf. Hovedtariffavtalen § 4.</w:t>
            </w:r>
          </w:p>
          <w:p>
            <w:pPr>
              <w:spacing w:after="120" w:line="276" w:lineRule="auto"/>
            </w:pPr>
            <w:r>
              <w:rPr>
                <w:rFonts w:ascii="Arial" w:hAnsi="Arial"/>
                <w:color w:val="1F2937"/>
                <w:sz w:val="21"/>
              </w:rPr>
              <w:t>4. Status for vikarbruken og økonomisk balanse rapporteres i 3. tertialrapport 2026.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E3A8A"/>
          <w:sz w:val="28"/>
        </w:rPr>
        <w:t>3. Bakgrunn for Saken og Lovhjemmel</w:t>
      </w:r>
    </w:p>
    <w:p>
      <w:pPr>
        <w:spacing w:after="120" w:line="276" w:lineRule="auto"/>
      </w:pPr>
      <w:r>
        <w:t>Etter Kommuneloven § 14-5 skal årsbudsjettet endres dersom det i løpet av året oppstår vesentlige avvik som utfordrer det overordnede budsjettbalansekravet. Kristiansand kommunes økonomireglement forutsetter at enhetsledere varsler sektorledelsen straks det oppstår merforbruk som overstiger 5 % av periodisert ramme. Enhet 202 Grunnskole har en tildelt årsramme på kr 13 700 000 for 2026, hvorav periodisert ramme for 1. halvår utgjør kr 6 850 000.</w:t>
      </w:r>
    </w:p>
    <w:p>
      <w:pPr>
        <w:spacing w:after="120" w:line="276" w:lineRule="auto"/>
      </w:pPr>
      <w:r>
        <w:t>Videre følger det av Kommuneloven § 14-6 fjerde ledd (bruttoprinsippet) at alle utgifter og inntekter skal budsjetteres og regnskapsføres brutto. Det er følgelig ikke tillatt å motregne vikarutgiftene direkte mot forventede fremtidige refusjoner fra NAV; avvikene må synliggjøres og håndteres på selvstendig grunnlag.</w:t>
      </w:r>
    </w:p>
    <w:p>
      <w:pPr>
        <w:spacing w:before="280" w:after="80"/>
      </w:pPr>
      <w:r>
        <w:rPr>
          <w:rFonts w:ascii="Arial" w:hAnsi="Arial"/>
          <w:b/>
          <w:color w:val="1E3A8A"/>
          <w:sz w:val="28"/>
        </w:rPr>
        <w:t>4. Vurdering og Økonomiske Konsekvenser</w:t>
      </w:r>
    </w:p>
    <w:p>
      <w:pPr>
        <w:spacing w:before="160" w:after="80"/>
      </w:pPr>
      <w:r>
        <w:rPr>
          <w:rFonts w:ascii="Arial" w:hAnsi="Arial"/>
          <w:b/>
          <w:color w:val="1F2937"/>
          <w:sz w:val="22"/>
        </w:rPr>
        <w:t>Tabell 1: Regnskapstall H1 2026 for Enhet 202 Grunnskole (Tall i NOK)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/>
        </w:trP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E3A8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Kontoart / Beskrivelse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E3A8A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Budsjett H1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E3A8A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Regnskap H1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E3A8A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Avvik Kr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1E3A8A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9"/>
              </w:rPr>
              <w:t>Avvik %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Art 1010 Faste lønninger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4 850 000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4 890 000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+40 000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+0,8 %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Art 1020 Innkjøp av vikarer (timelærere)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9FAFB"/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1 200 000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9FAFB"/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1 820 000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9FAFB"/>
          </w:tcPr>
          <w:p>
            <w:pPr>
              <w:jc w:val="right"/>
            </w:pPr>
            <w:r>
              <w:rPr>
                <w:rFonts w:ascii="Arial" w:hAnsi="Arial"/>
                <w:b/>
                <w:color w:val="DC2626"/>
                <w:sz w:val="19"/>
              </w:rPr>
              <w:t>+620 000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9FAFB"/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+51,7 %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Art 1090 Overtid og kveldstillegg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57 000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436 000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b/>
                <w:color w:val="DC2626"/>
                <w:sz w:val="19"/>
              </w:rPr>
              <w:t>+379 000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+664,9 %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9FAFB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9"/>
              </w:rPr>
              <w:t>Art 1600 NAV-refusjoner (sykepenger)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9FAFB"/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-590 000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9FAFB"/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-410 000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9FAFB"/>
          </w:tcPr>
          <w:p>
            <w:pPr>
              <w:jc w:val="right"/>
            </w:pPr>
            <w:r>
              <w:rPr>
                <w:rFonts w:ascii="Arial" w:hAnsi="Arial"/>
                <w:b/>
                <w:color w:val="DC2626"/>
                <w:sz w:val="19"/>
              </w:rPr>
              <w:t>+180 000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9FAFB"/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-30,5 %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3F4F6"/>
          </w:tcPr>
          <w:p>
            <w:pPr>
              <w:jc w:val="left"/>
            </w:pPr>
            <w:r>
              <w:rPr>
                <w:rFonts w:ascii="Arial" w:hAnsi="Arial"/>
                <w:b/>
                <w:color w:val="1E3A8A"/>
                <w:sz w:val="19"/>
              </w:rPr>
              <w:t>Sum Enhet 202 Grunnskole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3F4F6"/>
          </w:tcPr>
          <w:p>
            <w:pPr>
              <w:jc w:val="right"/>
            </w:pPr>
            <w:r>
              <w:rPr>
                <w:rFonts w:ascii="Arial" w:hAnsi="Arial"/>
                <w:b/>
                <w:color w:val="1E3A8A"/>
                <w:sz w:val="19"/>
              </w:rPr>
              <w:t>6 850 000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3F4F6"/>
          </w:tcPr>
          <w:p>
            <w:pPr>
              <w:jc w:val="right"/>
            </w:pPr>
            <w:r>
              <w:rPr>
                <w:rFonts w:ascii="Arial" w:hAnsi="Arial"/>
                <w:b/>
                <w:color w:val="1E3A8A"/>
                <w:sz w:val="19"/>
              </w:rPr>
              <w:t>7 700 000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3F4F6"/>
          </w:tcPr>
          <w:p>
            <w:pPr>
              <w:jc w:val="right"/>
            </w:pPr>
            <w:r>
              <w:rPr>
                <w:rFonts w:ascii="Arial" w:hAnsi="Arial"/>
                <w:b/>
                <w:color w:val="1E3A8A"/>
                <w:sz w:val="19"/>
              </w:rPr>
              <w:t>+850 000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3F4F6"/>
          </w:tcPr>
          <w:p>
            <w:pPr>
              <w:jc w:val="right"/>
            </w:pPr>
            <w:r>
              <w:rPr>
                <w:rFonts w:ascii="Arial" w:hAnsi="Arial"/>
                <w:b/>
                <w:color w:val="1E3A8A"/>
                <w:sz w:val="19"/>
              </w:rPr>
              <w:t>+12,4 %</w:t>
            </w:r>
          </w:p>
        </w:tc>
      </w:tr>
    </w:tbl>
    <w:p/>
    <w:p>
      <w:pPr>
        <w:spacing w:after="120" w:line="276" w:lineRule="auto"/>
      </w:pPr>
      <w:r>
        <w:rPr>
          <w:b/>
        </w:rPr>
        <w:t xml:space="preserve">Rotårsaksanalyse: </w:t>
      </w:r>
      <w:r>
        <w:t>Avviket er i alt vesentlig konsentrert rundt vikarutgifter ved sykefravær. Gjennomsnittlig sykefravær i skolesektoren i Kristiansand er 7,8 %, mens Enhet 202 i mai måned registrerte et fravær på 14,2 % som følge av langvarig smittebølge og akutte sykemeldinger blant nøkkelpersonell. Dette nødvendiggjorde omfattende innleie av timelærere og pålegg om overtid for å opprettholde lovfestet undervisningstilbud og eksamensavvikling.</w:t>
      </w:r>
    </w:p>
    <w:p>
      <w:pPr>
        <w:spacing w:after="120" w:line="276" w:lineRule="auto"/>
      </w:pPr>
      <w:r>
        <w:rPr>
          <w:b/>
        </w:rPr>
        <w:t xml:space="preserve">Kvantifisert Handlingsplan: </w:t>
      </w:r>
      <w:r>
        <w:t>1. Klassesammenslåing i fellesfag ved korttidsfravær (&lt; 3 dager) gir en estimert innsparing på kr 70 000 per måned.</w:t>
        <w:br/>
        <w:t>2. Aktiv oppfølging og samlepurring mot NAV Arbeid og Ytelser sikrer utbetaling av utestående refusjoner på kr 180 000 i 3. kvartal.</w:t>
        <w:br/>
        <w:t>3. Etablering av felles vikarpool i Oppvekstsektoren kutter ekstern innleie med ytterligere kr 100 000 per måned fra skolestart i august.</w:t>
      </w:r>
    </w:p>
    <w:p>
      <w:pPr>
        <w:spacing w:after="120" w:line="276" w:lineRule="auto"/>
      </w:pPr>
      <w:r>
        <w:rPr>
          <w:b/>
        </w:rPr>
        <w:t xml:space="preserve">Helårsprognose (EOY) og Risikovurdering: </w:t>
      </w:r>
      <w:r>
        <w:t>Uten tiltak (P90 / Worst Case) ville helårsavviket endt på kr 1 720 000. Med de iverksatte tiltakene reduseres helårsavviket til forventet kr 350 000 (P10 / Forventet bane). Dette beløpet lar seg finansiere i sin helhet innenfor Oppvekstsektorens omstillingsfond, slik at kommunens samlede netto driftsresultat ikke svekkes.</w:t>
      </w:r>
    </w:p>
    <w:p>
      <w:pPr>
        <w:spacing w:before="280" w:after="80"/>
      </w:pPr>
      <w:r>
        <w:rPr>
          <w:rFonts w:ascii="Arial" w:hAnsi="Arial"/>
          <w:b/>
          <w:color w:val="1E3A8A"/>
          <w:sz w:val="28"/>
        </w:rPr>
        <w:t>5. Konklusjon og Videre Prosess</w:t>
      </w:r>
    </w:p>
    <w:p>
      <w:pPr>
        <w:spacing w:after="120" w:line="276" w:lineRule="auto"/>
      </w:pPr>
      <w:r>
        <w:t>Kommunedirektøren vurderer at den foreliggende saken ivaretar kravene til forsvarlig økonomistyring og realisme i budsjettet. Vedtaket gir enheten handlefrihet til å levere lovpålagte skoleoppgaver, samtidig som strukturelle tiltak begrenser de økonomiske ringvirkningene. Saken oversendes Formannskapet for innstilling og Bystyret for endelig vedtak.</w:t>
      </w:r>
    </w:p>
    <w:p>
      <w:pPr>
        <w:spacing w:before="480"/>
      </w:pPr>
      <w:r>
        <w:rPr>
          <w:rFonts w:ascii="Arial" w:hAnsi="Arial"/>
          <w:b/>
          <w:sz w:val="21"/>
        </w:rPr>
        <w:t>Camilla Dunsæd</w:t>
        <w:br/>
        <w:t>Kommunedirektør</w:t>
      </w:r>
    </w:p>
    <w:p>
      <w:r>
        <w:rPr>
          <w:rFonts w:ascii="Arial" w:hAnsi="Arial"/>
          <w:i/>
          <w:color w:val="4B5563"/>
          <w:sz w:val="20"/>
        </w:rPr>
        <w:t>Frank Ellingsen</w:t>
        <w:br/>
        <w:t>Senior Controller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4B5563"/>
        <w:sz w:val="17"/>
      </w:rPr>
      <w:t>Saksnummer: 26/04182 (Public360)  |  Offentleglova § 14  |  Hjemmel: Kommuneloven § 14-5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B5563"/>
        <w:sz w:val="17"/>
      </w:rPr>
      <w:t>KRISTIANSAND KOMMUNE  •  BYSTYRET / FORMANNSKAPET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