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RAP-2026-M09-SEKSJON-INNKJ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MÅNEDLIG AVVIKS- OG TILTAKSRAPPORT — SEKSJONSLEDER / STABSSJEF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Seksjon: Anskaffelser og Innkjøp — Kristiansand kommune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SEKSJONSOVERSIKT:</w:t>
      </w:r>
    </w:p>
    <w:p>
      <w:r>
        <w:t>• Årsramme: 28 500 tNOK | Påløpt avvik: +1 450 tNOK (Merforbruk)</w:t>
        <w:br/>
        <w:t>• Hovedårsak: Konsulentbistand i forbindelse med gjennomføring av rammeavtaleanbud for IT og VVS.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Art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Beskrivelse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Årsbudsjett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Påløpt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Avvik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1010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Fast lønn stabsansatte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21 000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14 200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+200 tNOK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1090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Overtid ved anbudsfrister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500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850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+350 tNOK 🔴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1270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Juridisk/teknisk konsulentbistand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4 000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4 900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+900 tNOK 🔴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1370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Lisenser KGV/KAV fagsystem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3 000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3 000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0 tNOK 🟢</w:t>
            </w:r>
          </w:p>
        </w:tc>
      </w:tr>
    </w:tbl>
    <w:p>
      <w:pPr>
        <w:pStyle w:val="Heading2"/>
      </w:pPr>
      <w:r>
        <w:rPr>
          <w:color w:val="1B365D"/>
        </w:rPr>
        <w:t>TILTAKSPLAN FOR SEKSJONEN:</w:t>
      </w:r>
    </w:p>
    <w:p>
      <w:r>
        <w:t>1. [ACT-SEK-01]: Avslutte ekstern juridisk konsulentbistand innen 14 dager; overføre restoppgaver internt (-600 000 kr).</w:t>
        <w:br/>
        <w:t>2. [ACT-SEK-02]: Innføre overtidsforbud for konsulentoppfølging uten forhåndsgodkjenning (-200 000 kr).</w:t>
      </w:r>
    </w:p>
    <w:p>
      <w:r>
        <w:rPr>
          <w:rFonts w:ascii="Consolas" w:hAnsi="Consolas"/>
          <w:sz w:val="17"/>
        </w:rPr>
        <w:t>Seksjonsleder: Signert | SHA256:e9f0a1b2c3d4e5f6a7b8c9d0e1f2a3b4c5d6e7f8a9b0c1d2e3f4a5b6c7d8e9f0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