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OG VIRKSOMHETSSTYRING | REF: GATE-07-FRIA-DPIA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4"/>
        </w:rPr>
        <w:t>STAGE-GATE PORT 7: FRIA &amp; DPIA VURDERING</w:t>
      </w:r>
    </w:p>
    <w:p>
      <w:pPr>
        <w:spacing w:after="320"/>
      </w:pPr>
      <w:r>
        <w:rPr>
          <w:rFonts w:ascii="Segoe UI" w:hAnsi="Segoe UI"/>
          <w:i/>
          <w:color w:val="64748B"/>
          <w:sz w:val="20"/>
        </w:rPr>
        <w:t>Konsekvensvurdering for Grunnleggende Rettigheter (EU AI Act Art. 27) og Personvern (GDPR Art. 35)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r>
        <w:t>Offentlig sektor i Norge er underlagt strenge krav ved innføring av AI-systemer som påvirker tjenestetilbud og ressursallokering.</w:t>
        <w:br/>
        <w:t>Denne vurderingen krever eksplisitt godkjenning fra Personvernombud (DPO) og juridisk rådgiver, med absolutt VETORETT ved uakseptabel risiko.</w:t>
      </w:r>
    </w:p>
    <w:p>
      <w:pPr>
        <w:pStyle w:val="Heading2"/>
      </w:pPr>
      <w:r>
        <w:rPr>
          <w:color w:val="1B365D"/>
        </w:rPr>
        <w:t>1. SYSTEMBESKRIVELSE &amp; FORMÅL</w:t>
      </w:r>
    </w:p>
    <w:p>
      <w:r>
        <w:t>System: Antigravity EPM &amp; Kommune AI Guardrails (Kristiansand kommune)</w:t>
        <w:br/>
        <w:t>Formål: Rådgivende beslutningsstøtte for tidligvarsling av budsjettavvik og preskriptiv tiltaksanalyse.</w:t>
        <w:br/>
        <w:t>Klassifisering: Beslutningsstøtte uten autonom vedtaksmyndighet (High Oversight Low Autonomy).</w:t>
      </w:r>
    </w:p>
    <w:p>
      <w:pPr>
        <w:pStyle w:val="Heading2"/>
      </w:pPr>
      <w:r>
        <w:rPr>
          <w:color w:val="1B365D"/>
        </w:rPr>
        <w:t>2. PERSONVERN &amp; DATAMINIMERING (GDPR ART. 5 &amp; 35)</w:t>
      </w:r>
    </w:p>
    <w:p>
      <w:r>
        <w:t>• Behandles personopplysninger? NEI. All regnskaps- og lønnsdata er aggregert på KOSTRA-art og kostnadssted.</w:t>
        <w:br/>
        <w:t>• PII-filter i Port 4: Automatisk regex- og NER-vasking fjerner eventuelle fødselsnumre, navn eller personadresser i bilagstekst.</w:t>
        <w:br/>
        <w:t>• Lagring: 100 % lokal lagring i SQLite/DuckDB bak kommunens brannmur. Ingen data deles med eksterne AI-tjenester uten eksplisitt DPA.</w:t>
      </w:r>
    </w:p>
    <w:p>
      <w:pPr>
        <w:pStyle w:val="Heading2"/>
      </w:pPr>
      <w:r>
        <w:rPr>
          <w:color w:val="1B365D"/>
        </w:rPr>
        <w:t>3. GRUNNLEGGENDE RETTIGHETER &amp; ANTI-BIAS (EU AI ACT ART. 27)</w:t>
      </w:r>
    </w:p>
    <w:p>
      <w:r>
        <w:t>• Likebehandling: Statistisk likebehandling mellom virksomhetsenheter (ingen skjevhet mot enkeltskoler eller boenheter).</w:t>
        <w:br/>
        <w:t>• Pasientsikkerhet &amp; Elevrettigheter: AI-modellen har sperre mot å foreslå kutt i lovpålagte enkeltvedtak (spesialundervisning, 1-til-1 pleie).</w:t>
        <w:br/>
        <w:t>• Arbeidstakerrettigheter: Tiltak som berører arbeidstid krever obligatorisk partssamarbeid jf. HTA § 4.</w:t>
      </w:r>
    </w:p>
    <w:p>
      <w:pPr>
        <w:pStyle w:val="Heading2"/>
      </w:pPr>
      <w:r>
        <w:rPr>
          <w:color w:val="1B365D"/>
        </w:rPr>
        <w:t>4. KONKLUSJON &amp; DPO-GODKJENNING</w:t>
      </w:r>
    </w:p>
    <w:p>
      <w:r>
        <w:t>Konklusjon: Restrisiko er vurdert som LAV.</w:t>
        <w:br/>
        <w:br/>
        <w:t>Personvernombud (DPO): ______________________   Status: [ X ] GODKJENT   [  ] VETO</w:t>
        <w:br/>
        <w:t>Juridisk rådgiver: ___________________________   Dato: 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