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INST-LUKKING-2026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KONTROLLINSTRUKS: PERIODELUKKING &amp; AVSTEMMING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Månedlig og tertialvis rutine for kommunal controller og regnskapsavdeling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r>
        <w:t>Denne instruksen fastsetter obligatoriske avstemmingskontroller for å sikre korrekt regnskapsrapportering og etterlevelse av god kommunal regnskapsskikk (GKRS) og Kommuneloven kap. 14.</w:t>
      </w:r>
    </w:p>
    <w:p>
      <w:pPr>
        <w:pStyle w:val="Heading2"/>
      </w:pPr>
      <w:r>
        <w:rPr>
          <w:color w:val="1B365D"/>
        </w:rPr>
        <w:t>1. MÅNEDLIGE HOVEDKONTROLLER (DAG 1–5 ETTER MÅNEDSSLUTT)</w:t>
      </w:r>
    </w:p>
    <w:p>
      <w:r>
        <w:t>1. Bankavstemming: Fullstendig avstemming av samtlige drifts- og skattekontoer.</w:t>
        <w:br/>
        <w:t>2. A-melding: Avstemming av lønns- og trekkontoer mot kvittering fra Skatteetaten.</w:t>
        <w:br/>
        <w:t>3. Leverandørreskontro: Avstemming av uoppgjorte poster og fakturamottak i Visma.</w:t>
        <w:br/>
        <w:t>4. Kundreskontro: Purring og renteberegning av kommunale krav og gebyrer.</w:t>
      </w:r>
    </w:p>
    <w:p>
      <w:pPr>
        <w:pStyle w:val="Heading2"/>
      </w:pPr>
      <w:r>
        <w:rPr>
          <w:color w:val="1B365D"/>
        </w:rPr>
        <w:t>2. TERTIALVIS LUKKING &amp; PROGNOSE (T1, T2, T3)</w:t>
      </w:r>
    </w:p>
    <w:p>
      <w:r>
        <w:t>1. Periodisering av kjente inntekter og utgifter jf. anordningsprinsippet (§ 14-6).</w:t>
        <w:br/>
        <w:t>2. Validering av NAV sykepengerefusjoner (art 1690) og avstemming mot sykefraværsstatistikk.</w:t>
        <w:br/>
        <w:t>3. Kjøring av EOY-prognose i Power BI / DuckDB for tidligvarsling av avvik.</w:t>
        <w:br/>
        <w:t>4. Klargjøring av administrativt tiltaksnotat til kommunalsjef jf. Stage-Gate Port 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