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E3A8A"/>
          <w:sz w:val="36"/>
        </w:rPr>
        <w:t>Operativ Avviksrapport &amp; Handlingsplan: Enhet 202 Grunnskole</w:t>
      </w:r>
    </w:p>
    <w:p>
      <w:pPr>
        <w:spacing w:after="240" w:line="276" w:lineRule="auto"/>
      </w:pPr>
      <w:r>
        <w:rPr>
          <w:i/>
        </w:rPr>
        <w:t>Månedlig avviksoppfølging, årsaksdiagnose og 30-dagers tiltaksplan for rektor.</w:t>
      </w:r>
    </w:p>
    <w:p>
      <w:pPr>
        <w:spacing w:before="280" w:after="80"/>
      </w:pPr>
      <w:r>
        <w:rPr>
          <w:rFonts w:ascii="Arial" w:hAnsi="Arial"/>
          <w:b/>
          <w:color w:val="1E3A8A"/>
          <w:sz w:val="26"/>
        </w:rPr>
        <w:t>1. Avvik Hittil i År (YTD Variance)</w:t>
      </w:r>
    </w:p>
    <w:p>
      <w:pPr>
        <w:spacing w:after="120" w:line="276" w:lineRule="auto"/>
      </w:pPr>
      <w:r>
        <w:rPr>
          <w:rFonts w:ascii="Arial" w:hAnsi="Arial"/>
          <w:color w:val="1F2937"/>
          <w:sz w:val="21"/>
        </w:rPr>
        <w:t>Enhet 202 Grunnskole har per august 2026 et samlet merforbruk på kr 1 420 000 (+11,4 % mot periodisert budsjett). Vedtatt årsramme er kr 18 500 000. Dersom ingen tiltak iverksettes, vil helårsavviket eskalere til kr 2 130 000.</w:t>
      </w:r>
    </w:p>
    <w:p>
      <w:pPr>
        <w:spacing w:before="280" w:after="80"/>
      </w:pPr>
      <w:r>
        <w:rPr>
          <w:rFonts w:ascii="Arial" w:hAnsi="Arial"/>
          <w:b/>
          <w:color w:val="1E3A8A"/>
          <w:sz w:val="26"/>
        </w:rPr>
        <w:t>2. Årsak til Avvik (Root Cause via kontonivå)</w:t>
      </w:r>
    </w:p>
    <w:p>
      <w:pPr>
        <w:spacing w:after="120" w:line="276" w:lineRule="auto"/>
      </w:pPr>
      <w:r>
        <w:rPr>
          <w:rFonts w:ascii="Arial" w:hAnsi="Arial"/>
          <w:color w:val="1F2937"/>
          <w:sz w:val="21"/>
        </w:rPr>
        <w:t>Kontoart 1020 (Vikarer) viser kr 870 000 i merforbruk som følge av en fraværsbølge blant pedagogisk personale (12,8 % sykefravær). Kontoart 1090 (Overtid) har et merforbruk på kr 420 000 på grunn av pålegg om sensur og eksamensavvikling. Kontoart 1600 (NAV Refusjoner) viser etterslep på kr 150 000 på grunn av saksbehandlingstid hos NAV.</w:t>
      </w:r>
    </w:p>
    <w:p>
      <w:pPr>
        <w:spacing w:before="280" w:after="80"/>
      </w:pPr>
      <w:r>
        <w:rPr>
          <w:rFonts w:ascii="Arial" w:hAnsi="Arial"/>
          <w:b/>
          <w:color w:val="1E3A8A"/>
          <w:sz w:val="26"/>
        </w:rPr>
        <w:t>3. Forslag til Action Plan (0–30 dager og 30–90 dager)</w:t>
      </w:r>
    </w:p>
    <w:p>
      <w:pPr>
        <w:spacing w:after="120" w:line="276" w:lineRule="auto"/>
      </w:pPr>
      <w:r>
        <w:rPr>
          <w:rFonts w:ascii="Arial" w:hAnsi="Arial"/>
          <w:color w:val="1F2937"/>
          <w:sz w:val="21"/>
        </w:rPr>
        <w:t>Tiltak 1 (0–30 dgr): Innføring av administrativt vikarstopp for korttidsfravær under 3 dager. Etablering av intern vikarring.</w:t>
        <w:br/>
        <w:t>Tiltak 2 (30–90 dgr): Raskere elektronisk innsending av inntektsskjema til NAV for å fremskynde refusjoner.</w:t>
        <w:br/>
        <w:t>Tiltak 3 (30–90 dgr): Overtidsstopp og godkjenning av all mertid direkte hos rektor.</w:t>
      </w:r>
    </w:p>
    <w:p>
      <w:pPr>
        <w:spacing w:before="280" w:after="80"/>
      </w:pPr>
      <w:r>
        <w:rPr>
          <w:rFonts w:ascii="Arial" w:hAnsi="Arial"/>
          <w:b/>
          <w:color w:val="1E3A8A"/>
          <w:sz w:val="26"/>
        </w:rPr>
        <w:t>4. Kvantifisert Effekt &amp; EOY Balanse</w:t>
      </w:r>
    </w:p>
    <w:p>
      <w:pPr>
        <w:spacing w:after="120" w:line="276" w:lineRule="auto"/>
      </w:pPr>
      <w:r>
        <w:rPr>
          <w:rFonts w:ascii="Arial" w:hAnsi="Arial"/>
          <w:color w:val="1F2937"/>
          <w:sz w:val="21"/>
        </w:rPr>
        <w:t>Implementering av vikarstopp gir en verifisert månedlig besparelse på kr 170 000 fra 1. september (totalt kr 680 000 i 2026). Akselerert NAV-refusjon frigjør kr 150 000. Samlet innsparing på kr 830 000 reduserer forventet sluttavvik til kr 590 000, som foreslås dekket gjennom omdisponering fra disposisjonsfondet jf. Kommuneloven § 14-5.</w:t>
      </w:r>
    </w:p>
    <w:p>
      <w:pPr>
        <w:spacing w:before="400"/>
      </w:pPr>
      <w:r>
        <w:rPr>
          <w:b/>
        </w:rPr>
        <w:t>Frank Ellingsen</w:t>
        <w:br/>
        <w:t>Senior Controller (Attestert Stage-Gate Port 9)</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B5563"/>
        <w:sz w:val="17"/>
      </w:rPr>
      <w:t>Standard Avviksmønster MAL-AVVIK-EFFEKT-001  |  Stage-Gate Port 9 Sign-off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7"/>
      </w:rPr>
      <w:t>KRISTIANSAND KOMMUNE  •  ENHET 202 GRUNNSKOLE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