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1E3A8A"/>
          <w:sz w:val="36"/>
        </w:rPr>
        <w:t>Månedsrapport Kommunedirektøren: Administrativ Strakstiltaksplan 2026</w:t>
      </w:r>
    </w:p>
    <w:p>
      <w:pPr>
        <w:spacing w:after="240" w:line="276" w:lineRule="auto"/>
      </w:pPr>
      <w:r>
        <w:rPr>
          <w:rFonts w:ascii="Arial" w:hAnsi="Arial"/>
          <w:i/>
          <w:color w:val="4B5563"/>
          <w:sz w:val="22"/>
        </w:rPr>
        <w:t>Månedlig konsernoppfølging, vikarstopp og likviditetsanalyse per 2. Tertial.</w:t>
      </w:r>
    </w:p>
    <w:p>
      <w:r>
        <w:rPr>
          <w:b/>
          <w:color w:val="1E3A8A"/>
          <w:sz w:val="26"/>
        </w:rPr>
        <w:t>1. Finansiell Hovedstatus &amp; Konsernavvik</w:t>
      </w:r>
    </w:p>
    <w:p>
      <w:pPr>
        <w:spacing w:after="120" w:line="276" w:lineRule="auto"/>
      </w:pPr>
      <w:r>
        <w:t>Akkumulert driftsregnskap per august 2026 viser et samlet netto merforbruk på kr 2 489 000 mot periodisert budsjett. Hovedårsaken til avviket er konsentrert til Sektor Oppvekst (kr 1 420 000 i vikarutgifter) og Sektor Helse og Mestring (kr 1 069 000 i overtid og døgnvakttillegg). Kommunedirektøren iverksetter umiddelbart fire administrative strakstiltak (ACT-01 til ACT-04) for å bringe helårsdriften i balanse innenfor vedtatt årsbudsjett jf. Kommuneloven § 14-5.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351"/>
            <w:shd w:val="clear" w:color="auto"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Tiltak ID</w:t>
            </w:r>
          </w:p>
        </w:tc>
        <w:tc>
          <w:tcPr>
            <w:tcW w:type="dxa" w:w="2351"/>
            <w:shd w:val="clear" w:color="auto"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Område / Sektor</w:t>
            </w:r>
          </w:p>
        </w:tc>
        <w:tc>
          <w:tcPr>
            <w:tcW w:type="dxa" w:w="2351"/>
            <w:shd w:val="clear" w:color="auto"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Beskrivelse av Strakstiltak</w:t>
            </w:r>
          </w:p>
        </w:tc>
        <w:tc>
          <w:tcPr>
            <w:tcW w:type="dxa" w:w="2351"/>
            <w:shd w:val="clear" w:color="auto"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</w:rPr>
              <w:t>Månedlig Effekt (kr)</w:t>
            </w:r>
          </w:p>
        </w:tc>
      </w:tr>
      <w:tr>
        <w:tc>
          <w:tcPr>
            <w:tcW w:type="dxa" w:w="2351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ACT-01</w:t>
            </w:r>
          </w:p>
        </w:tc>
        <w:tc>
          <w:tcPr>
            <w:tcW w:type="dxa" w:w="2351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Oppvekst &amp; Utdanning</w:t>
            </w:r>
          </w:p>
        </w:tc>
        <w:tc>
          <w:tcPr>
            <w:tcW w:type="dxa" w:w="2351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Vikarstopp for korttidsfravær &lt; 3 dager; intern omdisponering</w:t>
            </w:r>
          </w:p>
        </w:tc>
        <w:tc>
          <w:tcPr>
            <w:tcW w:type="dxa" w:w="2351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A34A"/>
                <w:sz w:val="18"/>
              </w:rPr>
              <w:t>170 000 kr</w:t>
            </w:r>
          </w:p>
        </w:tc>
      </w:tr>
      <w:tr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ACT-02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Helse og Mestring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Omlegging av langvakter og restriksjoner på innleie fra byrå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A34A"/>
                <w:sz w:val="18"/>
              </w:rPr>
              <w:t>145 000 kr</w:t>
            </w:r>
          </w:p>
        </w:tc>
      </w:tr>
      <w:tr>
        <w:tc>
          <w:tcPr>
            <w:tcW w:type="dxa" w:w="2351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ACT-03</w:t>
            </w:r>
          </w:p>
        </w:tc>
        <w:tc>
          <w:tcPr>
            <w:tcW w:type="dxa" w:w="2351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Kultur &amp; Innbyggerdialog</w:t>
            </w:r>
          </w:p>
        </w:tc>
        <w:tc>
          <w:tcPr>
            <w:tcW w:type="dxa" w:w="2351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Innstillinger i eksterne konsulentkjøp og kursvirksomhet</w:t>
            </w:r>
          </w:p>
        </w:tc>
        <w:tc>
          <w:tcPr>
            <w:tcW w:type="dxa" w:w="2351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A34A"/>
                <w:sz w:val="18"/>
              </w:rPr>
              <w:t>65 000 kr</w:t>
            </w:r>
          </w:p>
        </w:tc>
      </w:tr>
      <w:tr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ACT-04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Fellestjenester / IKT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Konsolidering av programvarelisenser og utstyrsanskaffelser</w:t>
            </w:r>
          </w:p>
        </w:tc>
        <w:tc>
          <w:tcPr>
            <w:tcW w:type="dxa" w:w="2351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16A34A"/>
                <w:sz w:val="18"/>
              </w:rPr>
              <w:t>80 000 kr</w:t>
            </w:r>
          </w:p>
        </w:tc>
      </w:tr>
    </w:tbl>
    <w:p>
      <w:pPr>
        <w:spacing w:before="400"/>
      </w:pPr>
      <w:r>
        <w:rPr>
          <w:i/>
        </w:rPr>
        <w:t>Kristiansand, 14.10.2026</w:t>
        <w:br/>
        <w:br/>
      </w:r>
      <w:r>
        <w:rPr>
          <w:b/>
        </w:rPr>
        <w:t>Camilla Dunsæd</w:t>
        <w:br/>
        <w:t>Kommunedirektør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4B5563"/>
        <w:sz w:val="17"/>
      </w:rPr>
      <w:t>Månedsrapport Økonomi &amp; Drift  |  Internkontroll jf. Kommuneloven § 14-5  |  Offl. § 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B5563"/>
        <w:sz w:val="17"/>
      </w:rPr>
      <w:t>KRISTIANSAND KOMMUNE  •  KOMMUNEDIREKTØRENS LEDERGRUPPE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