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E3A8A"/>
          <w:sz w:val="36"/>
        </w:rPr>
        <w:t>Prosjektkontroll &amp; Investeringstilsyn (Capex): Statusnotat 2026</w:t>
      </w:r>
    </w:p>
    <w:p>
      <w:pPr>
        <w:spacing w:after="240" w:line="276" w:lineRule="auto"/>
      </w:pPr>
      <w:r>
        <w:rPr>
          <w:i/>
        </w:rPr>
        <w:t>Earned Value Management (EVM) analyse av Vågsbygd Skole, Randesund Boenhet og VA-anlegg.</w:t>
      </w:r>
    </w:p>
    <w:p>
      <w:pPr>
        <w:spacing w:after="120" w:line="276" w:lineRule="auto"/>
      </w:pPr>
      <w:r>
        <w:t>Project Controller Frank Ellingsen har gjennomført en fullstendig EVM-avstemming av kommunens tre største investeringsprosjekter. Samlet portefølje har en vedtatt kostnadsramme (BAC) på kr 517 000 000. Per 31.08.2026 er påløpt kostnad (AC) kr 292 900 000, mens opptjent verdi (EV) utgjør kr 262 900 000. Dette gir et samlet kostnadsavvik (CV) på kr -30 000 000 og en portefølje-CPI på 0,893. Sluttoverskridelsen (VAC) estimeres til kr 80 448 796, som anbefales delvis inndekket gjennom trekk på P85-usikkerhetsavsetningene.</w:t>
      </w:r>
    </w:p>
    <w:tbl>
      <w:tblPr>
        <w:tblW w:type="auto" w:w="0"/>
        <w:jc w:val="center"/>
        <w:tblLook w:firstColumn="1" w:firstRow="1" w:lastColumn="0" w:lastRow="0" w:noHBand="0" w:noVBand="1" w:val="04A0"/>
      </w:tblPr>
      <w:tblGrid>
        <w:gridCol w:w="1568"/>
        <w:gridCol w:w="1568"/>
        <w:gridCol w:w="1568"/>
        <w:gridCol w:w="1568"/>
        <w:gridCol w:w="1568"/>
        <w:gridCol w:w="1568"/>
      </w:tblGrid>
      <w:tr>
        <w:trPr>
          <w:tblHeader/>
        </w:trPr>
        <w:tc>
          <w:tcPr>
            <w:tcW w:type="dxa" w:w="1568"/>
            <w:shd w:val="clear" w:color="auto" w:fill="1E3A8A"/>
            <w:tcMar>
              <w:top w:w="100" w:type="dxa"/>
              <w:bottom w:w="100" w:type="dxa"/>
              <w:left w:w="100" w:type="dxa"/>
              <w:right w:w="100" w:type="dxa"/>
            </w:tcMar>
          </w:tcPr>
          <w:p>
            <w:r>
              <w:rPr>
                <w:b/>
                <w:color w:val="FFFFFF"/>
              </w:rPr>
              <w:t>Prosjekt</w:t>
            </w:r>
          </w:p>
        </w:tc>
        <w:tc>
          <w:tcPr>
            <w:tcW w:type="dxa" w:w="1568"/>
            <w:shd w:val="clear" w:color="auto" w:fill="1E3A8A"/>
            <w:tcMar>
              <w:top w:w="100" w:type="dxa"/>
              <w:bottom w:w="100" w:type="dxa"/>
              <w:left w:w="100" w:type="dxa"/>
              <w:right w:w="100" w:type="dxa"/>
            </w:tcMar>
          </w:tcPr>
          <w:p>
            <w:r>
              <w:rPr>
                <w:b/>
                <w:color w:val="FFFFFF"/>
              </w:rPr>
              <w:t>Vedtatt Ramme (BAC)</w:t>
            </w:r>
          </w:p>
        </w:tc>
        <w:tc>
          <w:tcPr>
            <w:tcW w:type="dxa" w:w="1568"/>
            <w:shd w:val="clear" w:color="auto" w:fill="1E3A8A"/>
            <w:tcMar>
              <w:top w:w="100" w:type="dxa"/>
              <w:bottom w:w="100" w:type="dxa"/>
              <w:left w:w="100" w:type="dxa"/>
              <w:right w:w="100" w:type="dxa"/>
            </w:tcMar>
          </w:tcPr>
          <w:p>
            <w:r>
              <w:rPr>
                <w:b/>
                <w:color w:val="FFFFFF"/>
              </w:rPr>
              <w:t>Påløpt (AC)</w:t>
            </w:r>
          </w:p>
        </w:tc>
        <w:tc>
          <w:tcPr>
            <w:tcW w:type="dxa" w:w="1568"/>
            <w:shd w:val="clear" w:color="auto" w:fill="1E3A8A"/>
            <w:tcMar>
              <w:top w:w="100" w:type="dxa"/>
              <w:bottom w:w="100" w:type="dxa"/>
              <w:left w:w="100" w:type="dxa"/>
              <w:right w:w="100" w:type="dxa"/>
            </w:tcMar>
          </w:tcPr>
          <w:p>
            <w:r>
              <w:rPr>
                <w:b/>
                <w:color w:val="FFFFFF"/>
              </w:rPr>
              <w:t>Opptjent (EV)</w:t>
            </w:r>
          </w:p>
        </w:tc>
        <w:tc>
          <w:tcPr>
            <w:tcW w:type="dxa" w:w="1568"/>
            <w:shd w:val="clear" w:color="auto" w:fill="1E3A8A"/>
            <w:tcMar>
              <w:top w:w="100" w:type="dxa"/>
              <w:bottom w:w="100" w:type="dxa"/>
              <w:left w:w="100" w:type="dxa"/>
              <w:right w:w="100" w:type="dxa"/>
            </w:tcMar>
          </w:tcPr>
          <w:p>
            <w:r>
              <w:rPr>
                <w:b/>
                <w:color w:val="FFFFFF"/>
              </w:rPr>
              <w:t>Kostn.indeks (CPI)</w:t>
            </w:r>
          </w:p>
        </w:tc>
        <w:tc>
          <w:tcPr>
            <w:tcW w:type="dxa" w:w="1568"/>
            <w:shd w:val="clear" w:color="auto" w:fill="1E3A8A"/>
            <w:tcMar>
              <w:top w:w="100" w:type="dxa"/>
              <w:bottom w:w="100" w:type="dxa"/>
              <w:left w:w="100" w:type="dxa"/>
              <w:right w:w="100" w:type="dxa"/>
            </w:tcMar>
          </w:tcPr>
          <w:p>
            <w:r>
              <w:rPr>
                <w:b/>
                <w:color w:val="FFFFFF"/>
              </w:rPr>
              <w:t>Sluttprognose (EAC)</w:t>
            </w:r>
          </w:p>
        </w:tc>
      </w:tr>
      <w:tr>
        <w:tc>
          <w:tcPr>
            <w:tcW w:type="dxa" w:w="1568"/>
            <w:shd w:val="clear" w:color="auto" w:fill="F9FAFB"/>
            <w:tcMar>
              <w:top w:w="80" w:type="dxa"/>
              <w:bottom w:w="80" w:type="dxa"/>
              <w:left w:w="100" w:type="dxa"/>
              <w:right w:w="100" w:type="dxa"/>
            </w:tcMar>
          </w:tcPr>
          <w:p>
            <w:r>
              <w:t>Vågsbygd Skole (PROJ-101)</w:t>
            </w:r>
          </w:p>
        </w:tc>
        <w:tc>
          <w:tcPr>
            <w:tcW w:type="dxa" w:w="1568"/>
            <w:shd w:val="clear" w:color="auto" w:fill="F9FAFB"/>
            <w:tcMar>
              <w:top w:w="80" w:type="dxa"/>
              <w:bottom w:w="80" w:type="dxa"/>
              <w:left w:w="100" w:type="dxa"/>
              <w:right w:w="100" w:type="dxa"/>
            </w:tcMar>
          </w:tcPr>
          <w:p>
            <w:pPr>
              <w:jc w:val="right"/>
            </w:pPr>
            <w:r>
              <w:t>185 000 000</w:t>
            </w:r>
          </w:p>
        </w:tc>
        <w:tc>
          <w:tcPr>
            <w:tcW w:type="dxa" w:w="1568"/>
            <w:shd w:val="clear" w:color="auto" w:fill="F9FAFB"/>
            <w:tcMar>
              <w:top w:w="80" w:type="dxa"/>
              <w:bottom w:w="80" w:type="dxa"/>
              <w:left w:w="100" w:type="dxa"/>
              <w:right w:w="100" w:type="dxa"/>
            </w:tcMar>
          </w:tcPr>
          <w:p>
            <w:pPr>
              <w:jc w:val="right"/>
            </w:pPr>
            <w:r>
              <w:t>104 500 000</w:t>
            </w:r>
          </w:p>
        </w:tc>
        <w:tc>
          <w:tcPr>
            <w:tcW w:type="dxa" w:w="1568"/>
            <w:shd w:val="clear" w:color="auto" w:fill="F9FAFB"/>
            <w:tcMar>
              <w:top w:w="80" w:type="dxa"/>
              <w:bottom w:w="80" w:type="dxa"/>
              <w:left w:w="100" w:type="dxa"/>
              <w:right w:w="100" w:type="dxa"/>
            </w:tcMar>
          </w:tcPr>
          <w:p>
            <w:pPr>
              <w:jc w:val="right"/>
            </w:pPr>
            <w:r>
              <w:t>95 000 000</w:t>
            </w:r>
          </w:p>
        </w:tc>
        <w:tc>
          <w:tcPr>
            <w:tcW w:type="dxa" w:w="1568"/>
            <w:shd w:val="clear" w:color="auto" w:fill="F9FAFB"/>
            <w:tcMar>
              <w:top w:w="80" w:type="dxa"/>
              <w:bottom w:w="80" w:type="dxa"/>
              <w:left w:w="100" w:type="dxa"/>
              <w:right w:w="100" w:type="dxa"/>
            </w:tcMar>
          </w:tcPr>
          <w:p>
            <w:pPr>
              <w:jc w:val="right"/>
            </w:pPr>
            <w:r>
              <w:rPr>
                <w:b/>
                <w:color w:val="DC2626"/>
              </w:rPr>
              <w:t>0,909</w:t>
            </w:r>
          </w:p>
        </w:tc>
        <w:tc>
          <w:tcPr>
            <w:tcW w:type="dxa" w:w="1568"/>
            <w:shd w:val="clear" w:color="auto" w:fill="F9FAFB"/>
            <w:tcMar>
              <w:top w:w="80" w:type="dxa"/>
              <w:bottom w:w="80" w:type="dxa"/>
              <w:left w:w="100" w:type="dxa"/>
              <w:right w:w="100" w:type="dxa"/>
            </w:tcMar>
          </w:tcPr>
          <w:p>
            <w:pPr>
              <w:jc w:val="right"/>
            </w:pPr>
            <w:r>
              <w:t>208 251 070 kr</w:t>
            </w:r>
          </w:p>
        </w:tc>
      </w:tr>
      <w:tr>
        <w:tc>
          <w:tcPr>
            <w:tcW w:type="dxa" w:w="1568"/>
            <w:shd w:val="clear" w:color="auto" w:fill="FFFFFF"/>
            <w:tcMar>
              <w:top w:w="80" w:type="dxa"/>
              <w:bottom w:w="80" w:type="dxa"/>
              <w:left w:w="100" w:type="dxa"/>
              <w:right w:w="100" w:type="dxa"/>
            </w:tcMar>
          </w:tcPr>
          <w:p>
            <w:r>
              <w:t>Randesund Boenhet (PROJ-201)</w:t>
            </w:r>
          </w:p>
        </w:tc>
        <w:tc>
          <w:tcPr>
            <w:tcW w:type="dxa" w:w="1568"/>
            <w:shd w:val="clear" w:color="auto" w:fill="FFFFFF"/>
            <w:tcMar>
              <w:top w:w="80" w:type="dxa"/>
              <w:bottom w:w="80" w:type="dxa"/>
              <w:left w:w="100" w:type="dxa"/>
              <w:right w:w="100" w:type="dxa"/>
            </w:tcMar>
          </w:tcPr>
          <w:p>
            <w:pPr>
              <w:jc w:val="right"/>
            </w:pPr>
            <w:r>
              <w:t>240 000 000</w:t>
            </w:r>
          </w:p>
        </w:tc>
        <w:tc>
          <w:tcPr>
            <w:tcW w:type="dxa" w:w="1568"/>
            <w:shd w:val="clear" w:color="auto" w:fill="FFFFFF"/>
            <w:tcMar>
              <w:top w:w="80" w:type="dxa"/>
              <w:bottom w:w="80" w:type="dxa"/>
              <w:left w:w="100" w:type="dxa"/>
              <w:right w:w="100" w:type="dxa"/>
            </w:tcMar>
          </w:tcPr>
          <w:p>
            <w:pPr>
              <w:jc w:val="right"/>
            </w:pPr>
            <w:r>
              <w:t>139 100 000</w:t>
            </w:r>
          </w:p>
        </w:tc>
        <w:tc>
          <w:tcPr>
            <w:tcW w:type="dxa" w:w="1568"/>
            <w:shd w:val="clear" w:color="auto" w:fill="FFFFFF"/>
            <w:tcMar>
              <w:top w:w="80" w:type="dxa"/>
              <w:bottom w:w="80" w:type="dxa"/>
              <w:left w:w="100" w:type="dxa"/>
              <w:right w:w="100" w:type="dxa"/>
            </w:tcMar>
          </w:tcPr>
          <w:p>
            <w:pPr>
              <w:jc w:val="right"/>
            </w:pPr>
            <w:r>
              <w:t>117 300 000</w:t>
            </w:r>
          </w:p>
        </w:tc>
        <w:tc>
          <w:tcPr>
            <w:tcW w:type="dxa" w:w="1568"/>
            <w:shd w:val="clear" w:color="auto" w:fill="FFFFFF"/>
            <w:tcMar>
              <w:top w:w="80" w:type="dxa"/>
              <w:bottom w:w="80" w:type="dxa"/>
              <w:left w:w="100" w:type="dxa"/>
              <w:right w:w="100" w:type="dxa"/>
            </w:tcMar>
          </w:tcPr>
          <w:p>
            <w:pPr>
              <w:jc w:val="right"/>
            </w:pPr>
            <w:r>
              <w:rPr>
                <w:b/>
                <w:color w:val="DC2626"/>
              </w:rPr>
              <w:t>0,843</w:t>
            </w:r>
          </w:p>
        </w:tc>
        <w:tc>
          <w:tcPr>
            <w:tcW w:type="dxa" w:w="1568"/>
            <w:shd w:val="clear" w:color="auto" w:fill="FFFFFF"/>
            <w:tcMar>
              <w:top w:w="80" w:type="dxa"/>
              <w:bottom w:w="80" w:type="dxa"/>
              <w:left w:w="100" w:type="dxa"/>
              <w:right w:w="100" w:type="dxa"/>
            </w:tcMar>
          </w:tcPr>
          <w:p>
            <w:pPr>
              <w:jc w:val="right"/>
            </w:pPr>
            <w:r>
              <w:t>299 529 558 kr</w:t>
            </w:r>
          </w:p>
        </w:tc>
      </w:tr>
      <w:tr>
        <w:tc>
          <w:tcPr>
            <w:tcW w:type="dxa" w:w="1568"/>
            <w:shd w:val="clear" w:color="auto" w:fill="F9FAFB"/>
            <w:tcMar>
              <w:top w:w="80" w:type="dxa"/>
              <w:bottom w:w="80" w:type="dxa"/>
              <w:left w:w="100" w:type="dxa"/>
              <w:right w:w="100" w:type="dxa"/>
            </w:tcMar>
          </w:tcPr>
          <w:p>
            <w:r>
              <w:t>VA Hovedledning (PROJ-301)</w:t>
            </w:r>
          </w:p>
        </w:tc>
        <w:tc>
          <w:tcPr>
            <w:tcW w:type="dxa" w:w="1568"/>
            <w:shd w:val="clear" w:color="auto" w:fill="F9FAFB"/>
            <w:tcMar>
              <w:top w:w="80" w:type="dxa"/>
              <w:bottom w:w="80" w:type="dxa"/>
              <w:left w:w="100" w:type="dxa"/>
              <w:right w:w="100" w:type="dxa"/>
            </w:tcMar>
          </w:tcPr>
          <w:p>
            <w:pPr>
              <w:jc w:val="right"/>
            </w:pPr>
            <w:r>
              <w:t>92 000 000</w:t>
            </w:r>
          </w:p>
        </w:tc>
        <w:tc>
          <w:tcPr>
            <w:tcW w:type="dxa" w:w="1568"/>
            <w:shd w:val="clear" w:color="auto" w:fill="F9FAFB"/>
            <w:tcMar>
              <w:top w:w="80" w:type="dxa"/>
              <w:bottom w:w="80" w:type="dxa"/>
              <w:left w:w="100" w:type="dxa"/>
              <w:right w:w="100" w:type="dxa"/>
            </w:tcMar>
          </w:tcPr>
          <w:p>
            <w:pPr>
              <w:jc w:val="right"/>
            </w:pPr>
            <w:r>
              <w:t>49 300 000</w:t>
            </w:r>
          </w:p>
        </w:tc>
        <w:tc>
          <w:tcPr>
            <w:tcW w:type="dxa" w:w="1568"/>
            <w:shd w:val="clear" w:color="auto" w:fill="F9FAFB"/>
            <w:tcMar>
              <w:top w:w="80" w:type="dxa"/>
              <w:bottom w:w="80" w:type="dxa"/>
              <w:left w:w="100" w:type="dxa"/>
              <w:right w:w="100" w:type="dxa"/>
            </w:tcMar>
          </w:tcPr>
          <w:p>
            <w:pPr>
              <w:jc w:val="right"/>
            </w:pPr>
            <w:r>
              <w:t>50 600 000</w:t>
            </w:r>
          </w:p>
        </w:tc>
        <w:tc>
          <w:tcPr>
            <w:tcW w:type="dxa" w:w="1568"/>
            <w:shd w:val="clear" w:color="auto" w:fill="F9FAFB"/>
            <w:tcMar>
              <w:top w:w="80" w:type="dxa"/>
              <w:bottom w:w="80" w:type="dxa"/>
              <w:left w:w="100" w:type="dxa"/>
              <w:right w:w="100" w:type="dxa"/>
            </w:tcMar>
          </w:tcPr>
          <w:p>
            <w:pPr>
              <w:jc w:val="right"/>
            </w:pPr>
            <w:r>
              <w:t>1,027</w:t>
            </w:r>
          </w:p>
        </w:tc>
        <w:tc>
          <w:tcPr>
            <w:tcW w:type="dxa" w:w="1568"/>
            <w:shd w:val="clear" w:color="auto" w:fill="F9FAFB"/>
            <w:tcMar>
              <w:top w:w="80" w:type="dxa"/>
              <w:bottom w:w="80" w:type="dxa"/>
              <w:left w:w="100" w:type="dxa"/>
              <w:right w:w="100" w:type="dxa"/>
            </w:tcMar>
          </w:tcPr>
          <w:p>
            <w:pPr>
              <w:jc w:val="right"/>
            </w:pPr>
            <w:r>
              <w:t>89 668 168 kr</w:t>
            </w:r>
          </w:p>
        </w:tc>
      </w:tr>
    </w:tbl>
    <w:p>
      <w:pPr>
        <w:spacing w:before="400"/>
      </w:pPr>
      <w:r>
        <w:rPr>
          <w:b/>
        </w:rPr>
        <w:t>Frank Ellingsen</w:t>
        <w:br/>
        <w:t>Project Controller &amp; BI-Spesialist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B5563"/>
        <w:sz w:val="17"/>
      </w:rPr>
      <w:t>Capex Statusrapport ISO 21508 EVM  |  Prosjektkontroll Frank Ellingsen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7"/>
      </w:rPr>
      <w:t>KRISTIANSAND KOMMUNE  •  KONTROLLUTVALGET &amp; BYUTVIKLING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