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rial" w:hAnsi="Arial"/>
          <w:b/>
          <w:color w:val="1E3A8A"/>
          <w:sz w:val="36"/>
        </w:rPr>
        <w:t>Sektorstyringsnotat: Oppvekst &amp; Grunnskole 2026</w:t>
      </w:r>
    </w:p>
    <w:p>
      <w:pPr>
        <w:spacing w:after="240" w:line="276" w:lineRule="auto"/>
      </w:pPr>
      <w:r>
        <w:rPr>
          <w:i/>
        </w:rPr>
        <w:t>Enhetsvis avviksmatrise, vikarforbruk og tiltak for lærertetthet per 2. Tertial.</w:t>
      </w:r>
    </w:p>
    <w:p>
      <w:pPr>
        <w:spacing w:after="120" w:line="276" w:lineRule="auto"/>
      </w:pPr>
      <w:r>
        <w:t>Sektor Oppvekst har et akkumulert merforbruk på kr 1 420 000 ved utgangen av august. Merforbruket drives av høyt korttidsfravær og innleie av vikarer i grunnskolene (Art 1020). Kommunalsjefen har gjennomgått samtlige enheter og etablert en intern vikarring mellom skolene i Vågsbygd og Grim for å redusere kjøp fra kommersielle vikarbyråer.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/>
        </w:trPr>
        <w:tc>
          <w:tcPr>
            <w:tcW w:type="dxa" w:w="1881"/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Skoleenhet</w:t>
            </w:r>
          </w:p>
        </w:tc>
        <w:tc>
          <w:tcPr>
            <w:tcW w:type="dxa" w:w="1881"/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Elevtall</w:t>
            </w:r>
          </w:p>
        </w:tc>
        <w:tc>
          <w:tcPr>
            <w:tcW w:type="dxa" w:w="1881"/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Budsjett YTD</w:t>
            </w:r>
          </w:p>
        </w:tc>
        <w:tc>
          <w:tcPr>
            <w:tcW w:type="dxa" w:w="1881"/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Regnskap YTD</w:t>
            </w:r>
          </w:p>
        </w:tc>
        <w:tc>
          <w:tcPr>
            <w:tcW w:type="dxa" w:w="1881"/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Avvik YTD (Merforbruk)</w:t>
            </w:r>
          </w:p>
        </w:tc>
      </w:tr>
      <w:tr>
        <w:tc>
          <w:tcPr>
            <w:tcW w:type="dxa" w:w="1881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Grim Skole (Enhet 2020)</w:t>
            </w:r>
          </w:p>
        </w:tc>
        <w:tc>
          <w:tcPr>
            <w:tcW w:type="dxa" w:w="1881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480</w:t>
            </w:r>
          </w:p>
        </w:tc>
        <w:tc>
          <w:tcPr>
            <w:tcW w:type="dxa" w:w="1881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t>4 150 000</w:t>
            </w:r>
          </w:p>
        </w:tc>
        <w:tc>
          <w:tcPr>
            <w:tcW w:type="dxa" w:w="1881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t>4 720 000</w:t>
            </w:r>
          </w:p>
        </w:tc>
        <w:tc>
          <w:tcPr>
            <w:tcW w:type="dxa" w:w="1881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DC2626"/>
              </w:rPr>
              <w:t>+570 000 kr</w:t>
            </w:r>
          </w:p>
        </w:tc>
      </w:tr>
      <w:tr>
        <w:tc>
          <w:tcPr>
            <w:tcW w:type="dxa" w:w="188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Lovisenlev Skole</w:t>
            </w:r>
          </w:p>
        </w:tc>
        <w:tc>
          <w:tcPr>
            <w:tcW w:type="dxa" w:w="188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390</w:t>
            </w:r>
          </w:p>
        </w:tc>
        <w:tc>
          <w:tcPr>
            <w:tcW w:type="dxa" w:w="188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t>3 400 000</w:t>
            </w:r>
          </w:p>
        </w:tc>
        <w:tc>
          <w:tcPr>
            <w:tcW w:type="dxa" w:w="188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t>3 710 000</w:t>
            </w:r>
          </w:p>
        </w:tc>
        <w:tc>
          <w:tcPr>
            <w:tcW w:type="dxa" w:w="188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DC2626"/>
              </w:rPr>
              <w:t>+310 000 kr</w:t>
            </w:r>
          </w:p>
        </w:tc>
      </w:tr>
      <w:tr>
        <w:tc>
          <w:tcPr>
            <w:tcW w:type="dxa" w:w="1881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Tangvall Skole</w:t>
            </w:r>
          </w:p>
        </w:tc>
        <w:tc>
          <w:tcPr>
            <w:tcW w:type="dxa" w:w="1881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310</w:t>
            </w:r>
          </w:p>
        </w:tc>
        <w:tc>
          <w:tcPr>
            <w:tcW w:type="dxa" w:w="1881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t>2 650 000</w:t>
            </w:r>
          </w:p>
        </w:tc>
        <w:tc>
          <w:tcPr>
            <w:tcW w:type="dxa" w:w="1881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t>2 890 000</w:t>
            </w:r>
          </w:p>
        </w:tc>
        <w:tc>
          <w:tcPr>
            <w:tcW w:type="dxa" w:w="1881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DC2626"/>
              </w:rPr>
              <w:t>+240 000 kr</w:t>
            </w:r>
          </w:p>
        </w:tc>
      </w:tr>
      <w:tr>
        <w:tc>
          <w:tcPr>
            <w:tcW w:type="dxa" w:w="188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Vågsbygd Skole</w:t>
            </w:r>
          </w:p>
        </w:tc>
        <w:tc>
          <w:tcPr>
            <w:tcW w:type="dxa" w:w="188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340</w:t>
            </w:r>
          </w:p>
        </w:tc>
        <w:tc>
          <w:tcPr>
            <w:tcW w:type="dxa" w:w="188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t>2 250 000</w:t>
            </w:r>
          </w:p>
        </w:tc>
        <w:tc>
          <w:tcPr>
            <w:tcW w:type="dxa" w:w="188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t>2 550 000</w:t>
            </w:r>
          </w:p>
        </w:tc>
        <w:tc>
          <w:tcPr>
            <w:tcW w:type="dxa" w:w="1881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DC2626"/>
              </w:rPr>
              <w:t>+300 000 kr</w:t>
            </w:r>
          </w:p>
        </w:tc>
      </w:tr>
    </w:tbl>
    <w:p>
      <w:pPr>
        <w:spacing w:before="400"/>
      </w:pPr>
      <w:r>
        <w:rPr>
          <w:b/>
        </w:rPr>
        <w:t>Kristin E. Bakke</w:t>
        <w:br/>
        <w:t>Kommunalsjef Oppvekst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B5563"/>
        <w:sz w:val="17"/>
      </w:rPr>
      <w:t>Sektorstyringsnotat Grunnskole  |  Enhetsoppfølging T2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B5563"/>
        <w:sz w:val="17"/>
      </w:rPr>
      <w:t>KRISTIANSAND KOMMUNE  •  SEKTOR OPPVEKST OG UTDANNING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