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b/>
          <w:color w:val="1E3A8A"/>
          <w:sz w:val="40"/>
        </w:rPr>
        <w:t>Handlings- og Økonomiplan (HØP) 2027–2030: Rammer og Retningslinjer</w:t>
      </w:r>
    </w:p>
    <w:p>
      <w:pPr>
        <w:spacing w:after="320" w:line="276" w:lineRule="auto"/>
      </w:pPr>
      <w:r>
        <w:rPr>
          <w:rFonts w:ascii="Arial" w:hAnsi="Arial"/>
          <w:i/>
          <w:color w:val="4B5563"/>
          <w:sz w:val="24"/>
        </w:rPr>
        <w:t>Faglig styringsnotat for tertialrapportering, sektorrammer og investeringsprioriteringer.</w:t>
      </w:r>
    </w:p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Kapittel 1: Innledning og Hovedutfordringer</w:t>
      </w:r>
    </w:p>
    <w:p>
      <w:pPr>
        <w:spacing w:after="120" w:line="276" w:lineRule="auto"/>
      </w:pPr>
      <w:r>
        <w:rPr>
          <w:rFonts w:ascii="Arial" w:hAnsi="Arial"/>
          <w:color w:val="1F2937"/>
          <w:sz w:val="21"/>
        </w:rPr>
        <w:t>Kristiansand kommune står overfor et stramt økonomisk handlingsrom i perioden 2027–2030 som følge av demografiske endringer med flere eldre innbyggere, reduserte skatteinntekter og økte renter på kommunens lånegjeld. Målsettingen er å opprettholde et netto driftsresultat på minst 1,75 % av brutto driftsinntekter.</w:t>
      </w:r>
    </w:p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Kapittel 2: Finansiell Ramme og Økonomiske Nøkkeltall</w:t>
      </w:r>
    </w:p>
    <w:p>
      <w:pPr>
        <w:spacing w:after="120" w:line="276" w:lineRule="auto"/>
      </w:pPr>
      <w:r>
        <w:rPr>
          <w:rFonts w:ascii="Arial" w:hAnsi="Arial"/>
          <w:color w:val="1F2937"/>
          <w:sz w:val="21"/>
        </w:rPr>
        <w:t>Styringsmålene fastsetter at disposisjonsfondet skal utgjøre minst 8 % av driftsinntektene for å gi tilstrekkelig buffer mot uforutsette hendelser. Lånegjelden skal holdes under 85 % av brutto inntekter eksklusive vann og avløp.</w:t>
      </w:r>
    </w:p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Kapittel 3: Sektorvise Rammer og Tiltakspakker</w:t>
      </w:r>
    </w:p>
    <w:p>
      <w:pPr>
        <w:spacing w:after="120" w:line="276" w:lineRule="auto"/>
      </w:pPr>
      <w:r>
        <w:rPr>
          <w:rFonts w:ascii="Arial" w:hAnsi="Arial"/>
          <w:color w:val="1F2937"/>
          <w:sz w:val="21"/>
        </w:rPr>
        <w:t>3.1 Oppvekst og Grunnskole: Innføring av felles vikarpool og standardiserte bemanningsnormer for å eliminere uplanlagt overforbruk.</w:t>
        <w:br/>
        <w:t>3.2 Helse og Mestring: Omstilling til velferdsteknologi, forebyggende hjemmetjenester og redusert overtid i turnus.</w:t>
        <w:br/>
        <w:t>3.3 By- og Stedsutvikling: Energieffektivisering av kommunale formålsbygg og optimalisering av vedlikeholdsprogrammet.</w:t>
        <w:br/>
        <w:t>3.4 Kultur og Innbyggerdialog: Digitale innbyggertjenester og målrettede samarbeidsavtaler med frivilligheten.</w:t>
      </w:r>
    </w:p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Kapittel 4: Investeringsprogram 2027–2030</w:t>
      </w:r>
    </w:p>
    <w:p>
      <w:pPr>
        <w:spacing w:after="120" w:line="276" w:lineRule="auto"/>
      </w:pPr>
      <w:r>
        <w:rPr>
          <w:rFonts w:ascii="Arial" w:hAnsi="Arial"/>
          <w:color w:val="1F2937"/>
          <w:sz w:val="21"/>
        </w:rPr>
        <w:t>Samlede brutto investeringer begrenses til kr 1,2 milliarder i fireårsperioden, med hovedprioritet på utvidelse av skolekapasitet og rehabilitering av omsorgsboliger. Alle prosjekter underlegges KS2-kvalitetssikring.</w:t>
      </w:r>
    </w:p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Kapittel 5: Finans- og Fondsstrategi</w:t>
      </w:r>
    </w:p>
    <w:p>
      <w:pPr>
        <w:spacing w:after="120" w:line="276" w:lineRule="auto"/>
      </w:pPr>
      <w:r>
        <w:rPr>
          <w:rFonts w:ascii="Arial" w:hAnsi="Arial"/>
          <w:color w:val="1F2937"/>
          <w:sz w:val="21"/>
        </w:rPr>
        <w:t>Avsetninger til disposisjonsfond prioriteres foran nye driftstiltak. Kommunens likviditetsstrategi baseres på langsiktige sertifikatlån med flytende rente kombinert med rentebytteavtaler (swaps) for å sikre forutsigbarhet.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4B5563"/>
        <w:sz w:val="17"/>
      </w:rPr>
      <w:t>Styringsnotat Økonomi &amp; Strategi  •  KOSTRA-standard  •  WCAG 2.1 AA Samsvar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B5563"/>
        <w:sz w:val="17"/>
      </w:rPr>
      <w:t>KRISTIANSAND KOMMUNE  •  HANDLINGS- OG ØKONOMIPLAN (HØP) 2027–2030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