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03366"/>
          <w:sz w:val="44"/>
        </w:rPr>
        <w:t>SAKSFREMLEGG &amp; STRATEGISK NOTAT</w:t>
      </w:r>
    </w:p>
    <w:p>
      <w:pPr>
        <w:spacing w:after="360"/>
      </w:pPr>
      <w:r>
        <w:rPr>
          <w:i/>
          <w:color w:val="5A6B7C"/>
          <w:sz w:val="26"/>
        </w:rPr>
        <w:t>Implementering av AI-drevet Virksomhetsstyring (EPM) og Antigravity Framework i Kristiansand Kommune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TIL:</w:t>
            </w:r>
          </w:p>
        </w:tc>
        <w:tc>
          <w:tcPr>
            <w:tcW w:type="dxa" w:w="67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Økonomidirektør, Kristiansand kommune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FRA:</w:t>
            </w:r>
          </w:p>
        </w:tc>
        <w:tc>
          <w:tcPr>
            <w:tcW w:type="dxa" w:w="67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Rådgiver økonomistyring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DATO:</w:t>
            </w:r>
          </w:p>
        </w:tc>
        <w:tc>
          <w:tcPr>
            <w:tcW w:type="dxa" w:w="67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11. oktober 2026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SAKSAPPARENT:</w:t>
            </w:r>
          </w:p>
        </w:tc>
        <w:tc>
          <w:tcPr>
            <w:tcW w:type="dxa" w:w="67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Strategisk rammeverk for KI-basert tidligvarsling, KOSTRA-integrasjon og beslutningsstøtte (EPM)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6"/>
        </w:rPr>
        <w:t>1. Formål og Sammendrag</w:t>
      </w:r>
    </w:p>
    <w:p>
      <w:pPr>
        <w:spacing w:after="160" w:line="276" w:lineRule="auto"/>
      </w:pPr>
      <w:r>
        <w:t>Dette notatet legger frem et helhetlig beslutningsgrunnlag for å implementere et **AI-drevet Enterprise Performance Management (EPM) rammeverk** – kalt *Antigravity Framework* – i Kristiansand kommune. Formålet er å modernisere kommunens økonomi- og virksomhetsstyring ved å gå fra reaktiv tertialrapportering til proaktiv, datadrevet tidligvarsling og preskriptiv beslutningsstøtte.</w:t>
      </w:r>
    </w:p>
    <w:p>
      <w:pPr>
        <w:spacing w:after="240" w:line="276" w:lineRule="auto"/>
      </w:pPr>
      <w:r>
        <w:t>Gjennom en kanonisk datamodell (*Golden Record*) forankret i KOSTRAs kontoplan og kommunelovens krav til bruttoføring og internkontroll, etableres det en felles datakilde (*Single Source of Truth*). Dette sikrer sømløs konsolidering på tvers av ulike kildesystemer (Visma Enterprise, Framsikt, Agresso) og virksomhetsområder – illustrert ved krevende case-eksempler fra **Kommunal skole** (Oppvekst) og **Kommunal boenhet** (Helse og mestring).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6"/>
        </w:rPr>
        <w:t>2. Status og Utfordringsbilde i Kristiansand Kommune</w:t>
      </w:r>
    </w:p>
    <w:p>
      <w:pPr>
        <w:spacing w:after="160" w:line="276" w:lineRule="auto"/>
      </w:pPr>
      <w:r>
        <w:t>Med utgangspunkt i kommunens **1. tertialrapport for 2026** styrer Kristiansand mot et positivt korrigert netto driftsresultat på **60,1 mill. kroner** (0,76 % av driftsinntektene), noe som er en forbedring på 46,9 mill. kroner mot opprinnelig budsjett. Likevel avdekker tertialrapporten betydelige underliggende utfordringer:</w:t>
      </w:r>
    </w:p>
    <w:p>
      <w:pPr>
        <w:pStyle w:val="ListBullet"/>
        <w:spacing w:after="80" w:line="276" w:lineRule="auto"/>
      </w:pPr>
      <w:r>
        <w:rPr>
          <w:b/>
        </w:rPr>
        <w:t xml:space="preserve">Underliggende merforbruk i tjenesteområdene: </w:t>
      </w:r>
      <w:r>
        <w:t>Tjenesteområdene styrer mot et samlet merforbruk på 56,4 mill. kroner før bruk av disposisjonsfond, spesielt drevet av økt vikarbruk og driftspress innen Helse og mestring samt Oppvekst/barnevern.</w:t>
      </w:r>
    </w:p>
    <w:p>
      <w:pPr>
        <w:pStyle w:val="ListBullet"/>
        <w:spacing w:after="80" w:line="276" w:lineRule="auto"/>
      </w:pPr>
      <w:r>
        <w:rPr>
          <w:b/>
        </w:rPr>
        <w:t xml:space="preserve">ERP-omlegging og forsinket inntektsføring: </w:t>
      </w:r>
      <w:r>
        <w:t>Overgangen til nytt ERP-system (Visma) har medført etterslep i føringer, hvor blant annet sykelønnsrefusjoner fra NAV (art 1690) ikke var fullt ut inntektsført per 1. tertial.</w:t>
      </w:r>
    </w:p>
    <w:p>
      <w:pPr>
        <w:pStyle w:val="ListBullet"/>
        <w:spacing w:after="80" w:line="276" w:lineRule="auto"/>
      </w:pPr>
      <w:r>
        <w:rPr>
          <w:b/>
        </w:rPr>
        <w:t xml:space="preserve">Rente- og likviditetspress: </w:t>
      </w:r>
      <w:r>
        <w:t>Gjennomsnittsrenten på kommunens gjeldsportefølje har økt til 4,1 %, noe som øker renteutgiftene med 12,3 mill. kroner. Bystyrets vedtatte gjeldstak på 8,8 mrd. kroner krever streng stramming i låneopptak.</w:t>
      </w:r>
    </w:p>
    <w:p>
      <w:pPr>
        <w:pStyle w:val="ListBullet"/>
        <w:spacing w:after="80" w:line="276" w:lineRule="auto"/>
      </w:pPr>
      <w:r>
        <w:rPr>
          <w:b/>
        </w:rPr>
        <w:t xml:space="preserve">Demografiske vridninger: </w:t>
      </w:r>
      <w:r>
        <w:t>Eldrebølgen øker behovet for døgnkontinuerlige tjenester i boenheter og omsorgssentre, samtidig som elevtallet i enkelte skoledistrikter endres.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6"/>
        </w:rPr>
        <w:t>3. Kanonisk Datamodell og IT-Arkitektur</w:t>
      </w:r>
    </w:p>
    <w:p>
      <w:pPr>
        <w:spacing w:after="160" w:line="276" w:lineRule="auto"/>
      </w:pPr>
      <w:r>
        <w:t>For å eliminere silobaserte datakilder og sikre revisjonsspor, etableres en **SQLite Golden Record-database** (`kristiansand_golden_record.db`). Datamodellen er strukturert som et renskåret Stjerne-skjema (*Star Schema*) basert på Kommunal- og distriktsdepartementets offisielle KOSTRA-kontoplan: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Tabellnavn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Beskrivelse &amp; Innhold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Dim_Kontoklasse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Dimensjon</w:t>
            </w:r>
          </w:p>
        </w:tc>
        <w:tc>
          <w:tcPr>
            <w:tcW w:type="dxa" w:w="417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Klassifiserer og skiller strengt mellom Kontoklasse 1 (Drift) og 2 (Investering) jf. Kommuneloven § 14-9.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Dim_Funksjon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Dimensjon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KOSTRAs tjenesteformål (f.eks. Funksjon 202 Grunnskole, 253 Omsorgssentre, 254 Bofellesskap) koblet til overordnede kommunalsjefområder.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Dim_Art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Dimensjon</w:t>
            </w:r>
          </w:p>
        </w:tc>
        <w:tc>
          <w:tcPr>
            <w:tcW w:type="dxa" w:w="417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KOSTRAs artskontoplan (f.eks. Art 1010 Fast lønn, 1020 Vikarer, 1090 Overtid, 1690 NAV-refusjon). Inneholder eksplisitt fortegnsmultiplikator (-1/+1).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Dim_Ansvar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Dimensjon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Organisasjonsstruktur ned til laveste resultatenhet (Mevold Grunnskole, Slettheia Bofellesskap) og kommunalsjefområde.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Fact_Regnskap</w:t>
            </w:r>
          </w:p>
        </w:tc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Faktatabell</w:t>
            </w:r>
          </w:p>
        </w:tc>
        <w:tc>
          <w:tcPr>
            <w:tcW w:type="dxa" w:w="417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Transaksjons- og posteringsoppføring på laveste granularitet. Inneholder SHA-256 hash for deduplisering, påløpt beløp, korrigert beløp og periodisert budsjett.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6"/>
        </w:rPr>
        <w:t>4. Analyse, Predictive Forecasting og Preskriptiv AI</w:t>
      </w:r>
    </w:p>
    <w:p>
      <w:pPr>
        <w:spacing w:after="160" w:line="276" w:lineRule="auto"/>
      </w:pPr>
      <w:r>
        <w:t>Det teknologiske rammeverket deler analyse- og beslutningsstøtten inn i tre operative nivåer:</w:t>
      </w:r>
    </w:p>
    <w:p>
      <w:pPr>
        <w:spacing w:after="80"/>
      </w:pPr>
      <w:r>
        <w:rPr>
          <w:b/>
          <w:color w:val="003366"/>
        </w:rPr>
        <w:t>A. Descriptive &amp; Diagnostic Analytics (Avviksdiagnostikk)</w:t>
      </w:r>
    </w:p>
    <w:p>
      <w:pPr>
        <w:spacing w:after="160" w:line="276" w:lineRule="auto"/>
      </w:pPr>
      <w:r>
        <w:t>Gjennom Power BI og Excel (Power Pivot) benyttes dynamiske DAX-måltall med `ISINSCOPE` for borring i KOSTRA-matrisen. Modellen skiller presist mellom avviksårsaker i ulike tjenestesektorer:</w:t>
        <w:br/>
      </w:r>
      <w:r>
        <w:t>• **Skole (Oppvekst):** Avdekker om merforbruk skyldes overskridelse på sykemeldte vikarer (art 1020) kombinert med tidsforskjøvet inntektsføring av NAV-refusjoner (art 1690).</w:t>
        <w:br/>
      </w:r>
      <w:r>
        <w:t>• **Boenhet (Helse og mestring):** Identifiserer avvik knyttet til 24/7-turnusdrift, overtid og helgetillegg (art 1090) samt ressurskrevende enkeltvedtak.</w:t>
      </w:r>
    </w:p>
    <w:p>
      <w:pPr>
        <w:spacing w:after="80"/>
      </w:pPr>
      <w:r>
        <w:rPr>
          <w:b/>
          <w:color w:val="003366"/>
        </w:rPr>
        <w:t>B. Predictive Analytics (Rullerende EOY-prognoser)</w:t>
      </w:r>
    </w:p>
    <w:p>
      <w:pPr>
        <w:spacing w:after="160" w:line="276" w:lineRule="auto"/>
      </w:pPr>
      <w:r>
        <w:t>I stedet for statiske årsbudsjett beregnes en rullerende **End of Year (EOY) prognose** 60–90 dager før de offisielle tertialrapportene foreligger. Formelen kombinerer påløpt regnskap YTD med gjenstående periodisert budsjett og en trendjustering for vedvarende driftsavvik.</w:t>
      </w:r>
    </w:p>
    <w:p>
      <w:pPr>
        <w:spacing w:after="80"/>
      </w:pPr>
      <w:r>
        <w:rPr>
          <w:b/>
          <w:color w:val="003366"/>
        </w:rPr>
        <w:t>C. Prescriptive Action &amp; Human-in-the-Loop (HITL)</w:t>
      </w:r>
    </w:p>
    <w:p>
      <w:pPr>
        <w:spacing w:after="160" w:line="276" w:lineRule="auto"/>
      </w:pPr>
      <w:r>
        <w:t>Når anomali-deteksjonen oppdager et gryende avvik, genererer systemet en **konkret, lovlig tiltaksmeny** for enhetslederen. AI fatter aldri autonome vedtak. Hver tiltaksanbefaling må vurderes, godkjennes og logges i en revisjonsklar tabell (`Audit_AI_Actions`) med saksbehandlers begrunnelse før iverksetting.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6"/>
        </w:rPr>
        <w:t>5. Ansvarlig AI, Etikk og Stage-Gate Governance</w:t>
      </w:r>
    </w:p>
    <w:p>
      <w:pPr>
        <w:spacing w:after="160" w:line="276" w:lineRule="auto"/>
      </w:pPr>
      <w:r>
        <w:t>For å sikre at bruk av kunstig intelligens i økonomistyringen skjer innenfor lovpålagte rammer, innføres en **10-stegs Stage-Gate portmodell**. Modellene kontrolleres mot Kommuneloven (§§ 13-1, 14-2, 14-4, 14-5), Delegeringsreglementet, Hovedavtalen § 4 (HTA), GDPR (DPIA) og EU AI Act (Art. 27 FRIA og Art. 4 AI Literacy).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Port (Gate)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Fase &amp; Fokus</w:t>
            </w:r>
          </w:p>
        </w:tc>
        <w:tc>
          <w:tcPr>
            <w:tcW w:type="dxa" w:w="403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Kontrollkrav &amp; Veto-myndighet</w:t>
            </w:r>
          </w:p>
        </w:tc>
      </w:tr>
      <w:tr>
        <w:tc>
          <w:tcPr>
            <w:tcW w:type="dxa" w:w="216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Gate 1–3</w:t>
            </w:r>
          </w:p>
        </w:tc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Initiering &amp; Etisk Vask</w:t>
            </w:r>
          </w:p>
        </w:tc>
        <w:tc>
          <w:tcPr>
            <w:tcW w:type="dxa" w:w="403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Tverrfaglig forankring, etisk screening og sikring av Human-in-the-Loop design.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Gate 4–5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Økonomi &amp; Anskaffelse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Gevinstkalkyle, unngå leverandørinnlåsing (vendor lock-in) og sikring av kommunens dataeierskap.</w:t>
            </w:r>
          </w:p>
        </w:tc>
      </w:tr>
      <w:tr>
        <w:tc>
          <w:tcPr>
            <w:tcW w:type="dxa" w:w="216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Gate 6–7</w:t>
            </w:r>
          </w:p>
        </w:tc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Sandkasse &amp; Risikovurdering</w:t>
            </w:r>
          </w:p>
        </w:tc>
        <w:tc>
          <w:tcPr>
            <w:tcW w:type="dxa" w:w="403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Gjennomføring av lovpålagt DPIA (personvern) og FRIA (grunnleggende rettigheter jf. EU AI Act). Veto-rett for DPO og Juridisk direktør.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Gate 8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Regelverk &amp; Registering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Registrering i kommunens offentlige algoritmeregister og drøfting med tillitsvalgte i PSU jf. Hovedavtalen § 4.</w:t>
            </w:r>
          </w:p>
        </w:tc>
      </w:tr>
      <w:tr>
        <w:tc>
          <w:tcPr>
            <w:tcW w:type="dxa" w:w="216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Gate 9–10</w:t>
            </w:r>
          </w:p>
        </w:tc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Drift, Evaluering &amp; Skalering</w:t>
            </w:r>
          </w:p>
        </w:tc>
        <w:tc>
          <w:tcPr>
            <w:tcW w:type="dxa" w:w="403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Kontinuerlig overvåking av modellsvingninger (model drift), årlig gevinstmåling og formell godkjenning fra Kommunedirektøren.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36"/>
        </w:rPr>
        <w:t>6. Anbefalt Tiltak / Innstilling til Økonomidirektøren</w:t>
      </w:r>
    </w:p>
    <w:p>
      <w:pPr>
        <w:spacing w:after="160" w:line="276" w:lineRule="auto"/>
      </w:pPr>
      <w:r>
        <w:t>På bakgrunn av den faglige, juridiske og teknologiske gjennomgangen innstilles det at Økonomidirektøren fatter følgende vedtak:</w:t>
      </w:r>
    </w:p>
    <w:p>
      <w:pPr>
        <w:spacing w:after="120" w:line="276" w:lineRule="auto"/>
        <w:ind w:left="288"/>
      </w:pPr>
      <w:r>
        <w:rPr>
          <w:b/>
          <w:color w:val="003366"/>
        </w:rPr>
        <w:t xml:space="preserve">1. Godkjenning av pilotering: </w:t>
      </w:r>
      <w:r>
        <w:t>Det gi grønt lys for å pilotere Antigravity EPM-rammeverket og den kanoniske datamodellen i utvalgte enheter innen Oppvekst (Mevold Grunnskole) og Helse og mestring (Slettheia Bofellesskap) i 2. halvår 2026.</w:t>
      </w:r>
    </w:p>
    <w:p>
      <w:pPr>
        <w:spacing w:after="120" w:line="276" w:lineRule="auto"/>
        <w:ind w:left="288"/>
      </w:pPr>
      <w:r>
        <w:rPr>
          <w:b/>
          <w:color w:val="003366"/>
        </w:rPr>
        <w:t xml:space="preserve">2. Etablering av AI-styringsgruppe: </w:t>
      </w:r>
      <w:r>
        <w:t>Det opprettes en tverrfaglig arbeidsgruppe bestående av representanter fra Økonomiavdelingen, IT/Digitalisering, Personvernombudet (DPO) og Juridisk enhet for å gjennomføre Stage-Gate portvurderingene.</w:t>
      </w:r>
    </w:p>
    <w:p>
      <w:pPr>
        <w:spacing w:after="120" w:line="276" w:lineRule="auto"/>
        <w:ind w:left="288"/>
      </w:pPr>
      <w:r>
        <w:rPr>
          <w:b/>
          <w:color w:val="003366"/>
        </w:rPr>
        <w:t xml:space="preserve">3. Partssamarbeid: </w:t>
      </w:r>
      <w:r>
        <w:t>Prosjektet og de preskriptive tiltakene fremlegges for drøfting i Partssammensatt utvalg (PSU) i tråd med Hovedavtalen § 4.</w:t>
      </w:r>
    </w:p>
    <w:p>
      <w:pPr>
        <w:spacing w:after="120" w:line="276" w:lineRule="auto"/>
        <w:ind w:left="288"/>
      </w:pPr>
      <w:r>
        <w:rPr>
          <w:b/>
          <w:color w:val="003366"/>
        </w:rPr>
        <w:t xml:space="preserve">4. Sak for Kommunedirektøren: </w:t>
      </w:r>
      <w:r>
        <w:t>Erfaringene fra pilotprosjektet oppsummeres i et formelt saksfremlegg til Kommunedirektøren med sikte på innarbeidelse i Handlings- og økonomiplanen (HØP) for 2027–2030.</w:t>
      </w:r>
    </w:p>
    <w:p>
      <w:pPr>
        <w:spacing w:after="360"/>
      </w:pPr>
    </w:p>
    <w:p>
      <w:pPr>
        <w:keepNext/>
      </w:pPr>
      <w:r>
        <w:rPr>
          <w:b/>
        </w:rPr>
        <w:t>Frank Ellingsen</w:t>
        <w:br/>
      </w:r>
      <w:r>
        <w:t>Rådgiver økonomistyring, Kristiansand kommune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